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EFAB" w14:textId="57C4D2B8" w:rsidR="00CE0A62" w:rsidRPr="00B2752C" w:rsidRDefault="0028120F" w:rsidP="0028120F">
      <w:pPr>
        <w:jc w:val="center"/>
        <w:rPr>
          <w:rFonts w:ascii="Georgia" w:hAnsi="Georgia" w:cstheme="majorBidi"/>
          <w:b/>
          <w:bCs/>
          <w:sz w:val="24"/>
          <w:szCs w:val="24"/>
        </w:rPr>
      </w:pPr>
      <w:r w:rsidRPr="00B2752C">
        <w:rPr>
          <w:rFonts w:ascii="Georgia" w:hAnsi="Georgia" w:cstheme="majorBidi"/>
          <w:b/>
          <w:bCs/>
          <w:sz w:val="24"/>
          <w:szCs w:val="24"/>
        </w:rPr>
        <w:t xml:space="preserve">In the Supreme Court of Pakistan </w:t>
      </w:r>
    </w:p>
    <w:p w14:paraId="6173B218" w14:textId="77777777" w:rsidR="0028120F" w:rsidRPr="00B2752C" w:rsidRDefault="0028120F" w:rsidP="0028120F">
      <w:pPr>
        <w:jc w:val="center"/>
        <w:rPr>
          <w:rFonts w:ascii="Georgia" w:hAnsi="Georgia" w:cstheme="majorBidi"/>
          <w:b/>
          <w:bCs/>
          <w:sz w:val="24"/>
          <w:szCs w:val="24"/>
        </w:rPr>
      </w:pPr>
    </w:p>
    <w:p w14:paraId="21A69951" w14:textId="77777777" w:rsidR="0028120F" w:rsidRPr="00B2752C" w:rsidRDefault="0028120F" w:rsidP="0028120F">
      <w:pPr>
        <w:jc w:val="center"/>
        <w:rPr>
          <w:rFonts w:ascii="Georgia" w:hAnsi="Georgia" w:cstheme="majorBidi"/>
          <w:b/>
          <w:bCs/>
          <w:sz w:val="24"/>
          <w:szCs w:val="24"/>
          <w:lang w:val="en-US"/>
        </w:rPr>
      </w:pPr>
    </w:p>
    <w:p w14:paraId="6698E46A" w14:textId="300BE6E0" w:rsidR="00412257" w:rsidRPr="00B2752C" w:rsidRDefault="00412257" w:rsidP="00412257">
      <w:pPr>
        <w:rPr>
          <w:rFonts w:ascii="Georgia" w:hAnsi="Georgia" w:cstheme="majorBidi"/>
          <w:sz w:val="24"/>
          <w:szCs w:val="24"/>
          <w:lang w:val="en-US"/>
        </w:rPr>
      </w:pPr>
      <w:r w:rsidRPr="00B2752C">
        <w:rPr>
          <w:rFonts w:ascii="Georgia" w:hAnsi="Georgia" w:cstheme="majorBidi"/>
          <w:sz w:val="24"/>
          <w:szCs w:val="24"/>
          <w:lang w:val="en-US"/>
        </w:rPr>
        <w:t>In re:</w:t>
      </w:r>
    </w:p>
    <w:p w14:paraId="2E391400" w14:textId="14B08667" w:rsidR="0028120F" w:rsidRPr="00B2752C" w:rsidRDefault="0028120F" w:rsidP="0028120F">
      <w:pPr>
        <w:jc w:val="center"/>
        <w:rPr>
          <w:rFonts w:ascii="Georgia" w:hAnsi="Georgia" w:cstheme="majorBidi"/>
          <w:b/>
          <w:bCs/>
          <w:sz w:val="24"/>
          <w:szCs w:val="24"/>
        </w:rPr>
      </w:pPr>
      <w:r w:rsidRPr="00B2752C">
        <w:rPr>
          <w:rFonts w:ascii="Georgia" w:hAnsi="Georgia" w:cstheme="majorBidi"/>
          <w:b/>
          <w:bCs/>
          <w:sz w:val="24"/>
          <w:szCs w:val="24"/>
        </w:rPr>
        <w:t>C.M.A. No. _______ of 2024</w:t>
      </w:r>
    </w:p>
    <w:p w14:paraId="2D177192" w14:textId="16D4C77E" w:rsidR="0028120F" w:rsidRPr="00B2752C" w:rsidRDefault="0028120F" w:rsidP="0028120F">
      <w:pPr>
        <w:jc w:val="center"/>
        <w:rPr>
          <w:rFonts w:ascii="Georgia" w:hAnsi="Georgia" w:cstheme="majorBidi"/>
          <w:sz w:val="24"/>
          <w:szCs w:val="24"/>
        </w:rPr>
      </w:pPr>
      <w:r w:rsidRPr="00B2752C">
        <w:rPr>
          <w:rFonts w:ascii="Georgia" w:hAnsi="Georgia" w:cstheme="majorBidi"/>
          <w:sz w:val="24"/>
          <w:szCs w:val="24"/>
        </w:rPr>
        <w:t xml:space="preserve">in </w:t>
      </w:r>
    </w:p>
    <w:p w14:paraId="1DFBD8F2" w14:textId="30290BF5" w:rsidR="0028120F" w:rsidRPr="00B2752C" w:rsidRDefault="0028120F" w:rsidP="0028120F">
      <w:pPr>
        <w:jc w:val="center"/>
        <w:rPr>
          <w:rFonts w:ascii="Georgia" w:hAnsi="Georgia" w:cstheme="majorBidi"/>
          <w:b/>
          <w:bCs/>
          <w:sz w:val="24"/>
          <w:szCs w:val="24"/>
        </w:rPr>
      </w:pPr>
      <w:r w:rsidRPr="00B2752C">
        <w:rPr>
          <w:rFonts w:ascii="Georgia" w:hAnsi="Georgia" w:cstheme="majorBidi"/>
          <w:b/>
          <w:bCs/>
          <w:sz w:val="24"/>
          <w:szCs w:val="24"/>
        </w:rPr>
        <w:t xml:space="preserve">Civil Appeals No. 333 and 334 of 2024 </w:t>
      </w:r>
    </w:p>
    <w:p w14:paraId="037698A5" w14:textId="5A2D7512" w:rsidR="0028120F" w:rsidRPr="00B2752C" w:rsidRDefault="0028120F" w:rsidP="0028120F">
      <w:pPr>
        <w:jc w:val="center"/>
        <w:rPr>
          <w:rFonts w:ascii="Georgia" w:hAnsi="Georgia" w:cstheme="majorBidi"/>
          <w:sz w:val="24"/>
          <w:szCs w:val="24"/>
        </w:rPr>
      </w:pPr>
      <w:r w:rsidRPr="00B2752C">
        <w:rPr>
          <w:rFonts w:ascii="Georgia" w:hAnsi="Georgia" w:cstheme="majorBidi"/>
          <w:sz w:val="24"/>
          <w:szCs w:val="24"/>
        </w:rPr>
        <w:t>and</w:t>
      </w:r>
    </w:p>
    <w:p w14:paraId="25919510" w14:textId="6BD08F0B" w:rsidR="0028120F" w:rsidRPr="00B2752C" w:rsidRDefault="0028120F" w:rsidP="0028120F">
      <w:pPr>
        <w:jc w:val="center"/>
        <w:rPr>
          <w:rFonts w:ascii="Georgia" w:hAnsi="Georgia" w:cstheme="majorBidi"/>
          <w:b/>
          <w:bCs/>
          <w:sz w:val="24"/>
          <w:szCs w:val="24"/>
        </w:rPr>
      </w:pPr>
      <w:r w:rsidRPr="00B2752C">
        <w:rPr>
          <w:rFonts w:ascii="Georgia" w:hAnsi="Georgia" w:cstheme="majorBidi"/>
          <w:b/>
          <w:bCs/>
          <w:sz w:val="24"/>
          <w:szCs w:val="24"/>
        </w:rPr>
        <w:t xml:space="preserve">Civil Petitions No. 1612 to 1617 of 2024  </w:t>
      </w:r>
    </w:p>
    <w:p w14:paraId="05F0571A" w14:textId="77777777" w:rsidR="00256110" w:rsidRPr="00B2752C" w:rsidRDefault="00256110" w:rsidP="0028120F">
      <w:pPr>
        <w:jc w:val="center"/>
        <w:rPr>
          <w:rFonts w:ascii="Georgia" w:hAnsi="Georgia" w:cstheme="majorBidi"/>
          <w:b/>
          <w:bCs/>
          <w:sz w:val="24"/>
          <w:szCs w:val="24"/>
        </w:rPr>
      </w:pPr>
    </w:p>
    <w:p w14:paraId="6AE1A8F4" w14:textId="77777777" w:rsidR="00256110" w:rsidRPr="00B2752C" w:rsidRDefault="00256110" w:rsidP="0028120F">
      <w:pPr>
        <w:jc w:val="center"/>
        <w:rPr>
          <w:rFonts w:ascii="Georgia" w:hAnsi="Georgia" w:cstheme="majorBidi"/>
          <w:b/>
          <w:bCs/>
          <w:sz w:val="24"/>
          <w:szCs w:val="24"/>
        </w:rPr>
      </w:pPr>
    </w:p>
    <w:p w14:paraId="32BAF41D" w14:textId="04CAAD44" w:rsidR="00256110" w:rsidRPr="00B2752C" w:rsidRDefault="00256110" w:rsidP="0028120F">
      <w:pPr>
        <w:jc w:val="center"/>
        <w:rPr>
          <w:rFonts w:ascii="Georgia" w:hAnsi="Georgia" w:cstheme="majorBidi"/>
          <w:b/>
          <w:bCs/>
          <w:sz w:val="24"/>
          <w:szCs w:val="24"/>
        </w:rPr>
      </w:pPr>
      <w:r w:rsidRPr="00B2752C">
        <w:rPr>
          <w:rFonts w:ascii="Georgia" w:hAnsi="Georgia" w:cstheme="majorBidi"/>
          <w:b/>
          <w:bCs/>
          <w:sz w:val="24"/>
          <w:szCs w:val="24"/>
        </w:rPr>
        <w:t>Sunni Ittihad Council and another</w:t>
      </w:r>
    </w:p>
    <w:p w14:paraId="51760F9B" w14:textId="65E7E645" w:rsidR="00256110" w:rsidRPr="00B2752C" w:rsidRDefault="00256110" w:rsidP="0028120F">
      <w:pPr>
        <w:jc w:val="center"/>
        <w:rPr>
          <w:rFonts w:ascii="Georgia" w:hAnsi="Georgia" w:cstheme="majorBidi"/>
          <w:sz w:val="24"/>
          <w:szCs w:val="24"/>
        </w:rPr>
      </w:pPr>
      <w:r w:rsidRPr="00B2752C">
        <w:rPr>
          <w:rFonts w:ascii="Georgia" w:hAnsi="Georgia" w:cstheme="majorBidi"/>
          <w:sz w:val="24"/>
          <w:szCs w:val="24"/>
        </w:rPr>
        <w:t xml:space="preserve">v. </w:t>
      </w:r>
    </w:p>
    <w:p w14:paraId="44F9F5B5" w14:textId="603A7379" w:rsidR="00256110" w:rsidRPr="00B2752C" w:rsidRDefault="00256110" w:rsidP="0028120F">
      <w:pPr>
        <w:jc w:val="center"/>
        <w:rPr>
          <w:rFonts w:ascii="Georgia" w:hAnsi="Georgia" w:cstheme="majorBidi"/>
          <w:b/>
          <w:bCs/>
          <w:sz w:val="24"/>
          <w:szCs w:val="24"/>
        </w:rPr>
      </w:pPr>
      <w:r w:rsidRPr="00B2752C">
        <w:rPr>
          <w:rFonts w:ascii="Georgia" w:hAnsi="Georgia" w:cstheme="majorBidi"/>
          <w:b/>
          <w:bCs/>
          <w:sz w:val="24"/>
          <w:szCs w:val="24"/>
        </w:rPr>
        <w:t xml:space="preserve">Election Commission of Pakistan </w:t>
      </w:r>
    </w:p>
    <w:p w14:paraId="5B8441E2" w14:textId="77777777" w:rsidR="00256110" w:rsidRPr="00B2752C" w:rsidRDefault="00256110" w:rsidP="0028120F">
      <w:pPr>
        <w:jc w:val="center"/>
        <w:rPr>
          <w:rFonts w:ascii="Georgia" w:hAnsi="Georgia" w:cstheme="majorBidi"/>
          <w:sz w:val="24"/>
          <w:szCs w:val="24"/>
        </w:rPr>
      </w:pPr>
    </w:p>
    <w:p w14:paraId="74892A73" w14:textId="77777777" w:rsidR="00256110" w:rsidRPr="00B2752C" w:rsidRDefault="00256110" w:rsidP="0028120F">
      <w:pPr>
        <w:pBdr>
          <w:top w:val="single" w:sz="12" w:space="1" w:color="auto"/>
          <w:bottom w:val="single" w:sz="12" w:space="1" w:color="auto"/>
        </w:pBdr>
        <w:jc w:val="center"/>
        <w:rPr>
          <w:rFonts w:ascii="Georgia" w:hAnsi="Georgia" w:cstheme="majorBidi"/>
          <w:b/>
          <w:bCs/>
          <w:sz w:val="24"/>
          <w:szCs w:val="24"/>
        </w:rPr>
      </w:pPr>
    </w:p>
    <w:p w14:paraId="6DC39375" w14:textId="58ED3967" w:rsidR="00256110" w:rsidRPr="00B2752C" w:rsidRDefault="006267F6" w:rsidP="0028120F">
      <w:pPr>
        <w:pBdr>
          <w:top w:val="single" w:sz="12" w:space="1" w:color="auto"/>
          <w:bottom w:val="single" w:sz="12" w:space="1" w:color="auto"/>
        </w:pBdr>
        <w:jc w:val="center"/>
        <w:rPr>
          <w:rFonts w:ascii="Georgia" w:hAnsi="Georgia" w:cstheme="majorBidi"/>
          <w:b/>
          <w:bCs/>
          <w:sz w:val="24"/>
          <w:szCs w:val="24"/>
        </w:rPr>
      </w:pPr>
      <w:r w:rsidRPr="00B2752C">
        <w:rPr>
          <w:rFonts w:ascii="Georgia" w:hAnsi="Georgia" w:cstheme="majorBidi"/>
          <w:b/>
          <w:bCs/>
          <w:sz w:val="24"/>
          <w:szCs w:val="24"/>
        </w:rPr>
        <w:t xml:space="preserve">Application </w:t>
      </w:r>
      <w:r w:rsidR="0085151E" w:rsidRPr="00B2752C">
        <w:rPr>
          <w:rFonts w:ascii="Georgia" w:hAnsi="Georgia" w:cstheme="majorBidi"/>
          <w:b/>
          <w:bCs/>
          <w:sz w:val="24"/>
          <w:szCs w:val="24"/>
        </w:rPr>
        <w:t xml:space="preserve">on behalf of the Pakistan Tehreek-e-Insaf </w:t>
      </w:r>
      <w:r w:rsidRPr="00B2752C">
        <w:rPr>
          <w:rFonts w:ascii="Georgia" w:hAnsi="Georgia" w:cstheme="majorBidi"/>
          <w:b/>
          <w:bCs/>
          <w:sz w:val="24"/>
          <w:szCs w:val="24"/>
        </w:rPr>
        <w:t>in terms of paragraph</w:t>
      </w:r>
      <w:r w:rsidR="00C25896" w:rsidRPr="00B2752C">
        <w:rPr>
          <w:rFonts w:ascii="Georgia" w:hAnsi="Georgia" w:cstheme="majorBidi"/>
          <w:b/>
          <w:bCs/>
          <w:sz w:val="24"/>
          <w:szCs w:val="24"/>
        </w:rPr>
        <w:t xml:space="preserve"> </w:t>
      </w:r>
      <w:r w:rsidRPr="00B2752C">
        <w:rPr>
          <w:rFonts w:ascii="Georgia" w:hAnsi="Georgia" w:cstheme="majorBidi"/>
          <w:b/>
          <w:bCs/>
          <w:sz w:val="24"/>
          <w:szCs w:val="24"/>
        </w:rPr>
        <w:t>10 of the short order dated 12.07.2024</w:t>
      </w:r>
    </w:p>
    <w:p w14:paraId="0981B082" w14:textId="77777777" w:rsidR="00256110" w:rsidRPr="00B2752C" w:rsidRDefault="00256110" w:rsidP="0028120F">
      <w:pPr>
        <w:pBdr>
          <w:top w:val="single" w:sz="12" w:space="1" w:color="auto"/>
          <w:bottom w:val="single" w:sz="12" w:space="1" w:color="auto"/>
        </w:pBdr>
        <w:jc w:val="center"/>
        <w:rPr>
          <w:rFonts w:ascii="Georgia" w:hAnsi="Georgia" w:cstheme="majorBidi"/>
          <w:b/>
          <w:bCs/>
          <w:sz w:val="24"/>
          <w:szCs w:val="24"/>
        </w:rPr>
      </w:pPr>
    </w:p>
    <w:p w14:paraId="3C0E93CA" w14:textId="77777777" w:rsidR="00256110" w:rsidRPr="00B2752C" w:rsidRDefault="00256110" w:rsidP="003F621F">
      <w:pPr>
        <w:jc w:val="both"/>
        <w:rPr>
          <w:rFonts w:ascii="Georgia" w:hAnsi="Georgia" w:cstheme="majorBidi"/>
          <w:sz w:val="24"/>
          <w:szCs w:val="24"/>
        </w:rPr>
      </w:pPr>
    </w:p>
    <w:p w14:paraId="19F3E69E" w14:textId="60C781E2" w:rsidR="003F621F" w:rsidRPr="00B2752C" w:rsidRDefault="003F621F" w:rsidP="003F621F">
      <w:pPr>
        <w:jc w:val="both"/>
        <w:rPr>
          <w:rFonts w:ascii="Georgia" w:hAnsi="Georgia" w:cstheme="majorBidi"/>
          <w:sz w:val="24"/>
          <w:szCs w:val="24"/>
        </w:rPr>
      </w:pPr>
      <w:r w:rsidRPr="00B2752C">
        <w:rPr>
          <w:rFonts w:ascii="Georgia" w:hAnsi="Georgia" w:cstheme="majorBidi"/>
          <w:sz w:val="24"/>
          <w:szCs w:val="24"/>
        </w:rPr>
        <w:t>Respectfully sheweth</w:t>
      </w:r>
    </w:p>
    <w:p w14:paraId="71D1E8A6" w14:textId="6DDB8FA6" w:rsidR="003F621F" w:rsidRPr="00B2752C" w:rsidRDefault="00A660C7" w:rsidP="00A660C7">
      <w:pPr>
        <w:spacing w:line="360" w:lineRule="auto"/>
        <w:jc w:val="center"/>
        <w:rPr>
          <w:rFonts w:ascii="Georgia" w:hAnsi="Georgia" w:cstheme="majorBidi"/>
          <w:b/>
          <w:bCs/>
          <w:sz w:val="24"/>
          <w:szCs w:val="24"/>
        </w:rPr>
      </w:pPr>
      <w:r w:rsidRPr="00B2752C">
        <w:rPr>
          <w:rFonts w:ascii="Georgia" w:hAnsi="Georgia" w:cstheme="majorBidi"/>
          <w:b/>
          <w:bCs/>
          <w:sz w:val="24"/>
          <w:szCs w:val="24"/>
        </w:rPr>
        <w:t>Summary</w:t>
      </w:r>
    </w:p>
    <w:p w14:paraId="09ADD0A8" w14:textId="35B4F052" w:rsidR="00E260E1" w:rsidRPr="00B2752C" w:rsidRDefault="00D124A3" w:rsidP="002A029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Th</w:t>
      </w:r>
      <w:r w:rsidR="00372DFF" w:rsidRPr="00B2752C">
        <w:rPr>
          <w:rFonts w:ascii="Georgia" w:hAnsi="Georgia" w:cstheme="majorBidi"/>
          <w:sz w:val="24"/>
          <w:szCs w:val="24"/>
        </w:rPr>
        <w:t>at th</w:t>
      </w:r>
      <w:r w:rsidRPr="00B2752C">
        <w:rPr>
          <w:rFonts w:ascii="Georgia" w:hAnsi="Georgia" w:cstheme="majorBidi"/>
          <w:sz w:val="24"/>
          <w:szCs w:val="24"/>
        </w:rPr>
        <w:t xml:space="preserve">e instant </w:t>
      </w:r>
      <w:r w:rsidR="00CA178A" w:rsidRPr="00B2752C">
        <w:rPr>
          <w:rFonts w:ascii="Georgia" w:hAnsi="Georgia" w:cstheme="majorBidi"/>
          <w:sz w:val="24"/>
          <w:szCs w:val="24"/>
        </w:rPr>
        <w:t>application</w:t>
      </w:r>
      <w:r w:rsidRPr="00B2752C">
        <w:rPr>
          <w:rFonts w:ascii="Georgia" w:hAnsi="Georgia" w:cstheme="majorBidi"/>
          <w:sz w:val="24"/>
          <w:szCs w:val="24"/>
        </w:rPr>
        <w:t xml:space="preserve"> is being filed by the Pakistan Tehreek-e-Insaf (“</w:t>
      </w:r>
      <w:r w:rsidRPr="00B2752C">
        <w:rPr>
          <w:rFonts w:ascii="Georgia" w:hAnsi="Georgia" w:cstheme="majorBidi"/>
          <w:b/>
          <w:bCs/>
          <w:sz w:val="24"/>
          <w:szCs w:val="24"/>
        </w:rPr>
        <w:t>PTI</w:t>
      </w:r>
      <w:r w:rsidRPr="00B2752C">
        <w:rPr>
          <w:rFonts w:ascii="Georgia" w:hAnsi="Georgia" w:cstheme="majorBidi"/>
          <w:sz w:val="24"/>
          <w:szCs w:val="24"/>
        </w:rPr>
        <w:t xml:space="preserve">”) through its </w:t>
      </w:r>
      <w:r w:rsidR="0029082F">
        <w:rPr>
          <w:rFonts w:ascii="Georgia" w:hAnsi="Georgia" w:cstheme="majorBidi"/>
          <w:sz w:val="24"/>
          <w:szCs w:val="24"/>
        </w:rPr>
        <w:t>Chairm</w:t>
      </w:r>
      <w:r w:rsidR="0002540D">
        <w:rPr>
          <w:rFonts w:ascii="Georgia" w:hAnsi="Georgia" w:cstheme="majorBidi"/>
          <w:sz w:val="24"/>
          <w:szCs w:val="24"/>
        </w:rPr>
        <w:t>a</w:t>
      </w:r>
      <w:r w:rsidR="0029082F">
        <w:rPr>
          <w:rFonts w:ascii="Georgia" w:hAnsi="Georgia" w:cstheme="majorBidi"/>
          <w:sz w:val="24"/>
          <w:szCs w:val="24"/>
        </w:rPr>
        <w:t>n, Barrister Gohar Ali Khan</w:t>
      </w:r>
      <w:r w:rsidR="00B82204" w:rsidRPr="00B2752C">
        <w:rPr>
          <w:rFonts w:ascii="Georgia" w:hAnsi="Georgia" w:cstheme="majorBidi"/>
          <w:sz w:val="24"/>
          <w:szCs w:val="24"/>
        </w:rPr>
        <w:t xml:space="preserve">, who is </w:t>
      </w:r>
      <w:r w:rsidR="00412257" w:rsidRPr="00B2752C">
        <w:rPr>
          <w:rFonts w:ascii="Georgia" w:hAnsi="Georgia" w:cstheme="majorBidi"/>
          <w:sz w:val="24"/>
          <w:szCs w:val="24"/>
          <w:lang w:val="en-US"/>
        </w:rPr>
        <w:t xml:space="preserve">duly </w:t>
      </w:r>
      <w:r w:rsidR="00B82204" w:rsidRPr="00B2752C">
        <w:rPr>
          <w:rFonts w:ascii="Georgia" w:hAnsi="Georgia" w:cstheme="majorBidi"/>
          <w:sz w:val="24"/>
          <w:szCs w:val="24"/>
        </w:rPr>
        <w:t>authorized in this regard by virtue of PTI’s Constitution, is well conversant with the facts of the case and is competent and able to depose thereto</w:t>
      </w:r>
      <w:r w:rsidR="006A0545" w:rsidRPr="00B2752C">
        <w:rPr>
          <w:rFonts w:ascii="Georgia" w:hAnsi="Georgia" w:cstheme="majorBidi"/>
          <w:sz w:val="24"/>
          <w:szCs w:val="24"/>
        </w:rPr>
        <w:t>.</w:t>
      </w:r>
      <w:r w:rsidR="0085151E" w:rsidRPr="00B2752C">
        <w:rPr>
          <w:rFonts w:ascii="Georgia" w:hAnsi="Georgia" w:cstheme="majorBidi"/>
          <w:sz w:val="24"/>
          <w:szCs w:val="24"/>
        </w:rPr>
        <w:t xml:space="preserve"> </w:t>
      </w:r>
    </w:p>
    <w:p w14:paraId="2895DAA7" w14:textId="0EE56983" w:rsidR="0001723C" w:rsidRPr="0029082F" w:rsidRDefault="0001723C" w:rsidP="0029082F">
      <w:pPr>
        <w:spacing w:line="360" w:lineRule="auto"/>
        <w:jc w:val="both"/>
        <w:rPr>
          <w:rFonts w:ascii="Georgia" w:hAnsi="Georgia" w:cstheme="majorBidi"/>
          <w:sz w:val="24"/>
          <w:szCs w:val="24"/>
        </w:rPr>
      </w:pPr>
    </w:p>
    <w:p w14:paraId="1A37E895" w14:textId="4409E3EA" w:rsidR="0001723C" w:rsidRPr="00B2752C" w:rsidRDefault="00372DFF" w:rsidP="002A029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 xml:space="preserve">That the </w:t>
      </w:r>
      <w:r w:rsidR="002A0298" w:rsidRPr="00B2752C">
        <w:rPr>
          <w:rFonts w:ascii="Georgia" w:hAnsi="Georgia" w:cstheme="majorBidi"/>
          <w:sz w:val="24"/>
          <w:szCs w:val="24"/>
        </w:rPr>
        <w:t xml:space="preserve">PTI is filing the instant application in light of a letter dated 19 September 2024 by the Speaker of the National Assembly </w:t>
      </w:r>
      <w:r w:rsidRPr="00B2752C">
        <w:rPr>
          <w:rFonts w:ascii="Georgia" w:hAnsi="Georgia" w:cstheme="majorBidi"/>
          <w:sz w:val="24"/>
          <w:szCs w:val="24"/>
        </w:rPr>
        <w:t>(the “</w:t>
      </w:r>
      <w:r w:rsidRPr="00B2752C">
        <w:rPr>
          <w:rFonts w:ascii="Georgia" w:hAnsi="Georgia" w:cstheme="majorBidi"/>
          <w:b/>
          <w:bCs/>
          <w:sz w:val="24"/>
          <w:szCs w:val="24"/>
        </w:rPr>
        <w:t>NA Speaker’s Letter</w:t>
      </w:r>
      <w:r w:rsidRPr="00B2752C">
        <w:rPr>
          <w:rFonts w:ascii="Georgia" w:hAnsi="Georgia" w:cstheme="majorBidi"/>
          <w:sz w:val="24"/>
          <w:szCs w:val="24"/>
        </w:rPr>
        <w:t xml:space="preserve">”) </w:t>
      </w:r>
      <w:r w:rsidR="002A0298" w:rsidRPr="00B2752C">
        <w:rPr>
          <w:rFonts w:ascii="Georgia" w:hAnsi="Georgia" w:cstheme="majorBidi"/>
          <w:sz w:val="24"/>
          <w:szCs w:val="24"/>
        </w:rPr>
        <w:t>to the Election Commission of Pakistan (“</w:t>
      </w:r>
      <w:r w:rsidR="002A0298" w:rsidRPr="00B2752C">
        <w:rPr>
          <w:rFonts w:ascii="Georgia" w:hAnsi="Georgia" w:cstheme="majorBidi"/>
          <w:b/>
          <w:bCs/>
          <w:sz w:val="24"/>
          <w:szCs w:val="24"/>
        </w:rPr>
        <w:t>ECP</w:t>
      </w:r>
      <w:r w:rsidR="002A0298" w:rsidRPr="00B2752C">
        <w:rPr>
          <w:rFonts w:ascii="Georgia" w:hAnsi="Georgia" w:cstheme="majorBidi"/>
          <w:sz w:val="24"/>
          <w:szCs w:val="24"/>
        </w:rPr>
        <w:t>”) in which the Speaker has contended that, in light of the amendments to the Elections Act, 2017 (“</w:t>
      </w:r>
      <w:r w:rsidR="002A0298" w:rsidRPr="00B2752C">
        <w:rPr>
          <w:rFonts w:ascii="Georgia" w:hAnsi="Georgia" w:cstheme="majorBidi"/>
          <w:b/>
          <w:bCs/>
          <w:sz w:val="24"/>
          <w:szCs w:val="24"/>
        </w:rPr>
        <w:t>2017 Act</w:t>
      </w:r>
      <w:r w:rsidR="002A0298" w:rsidRPr="00B2752C">
        <w:rPr>
          <w:rFonts w:ascii="Georgia" w:hAnsi="Georgia" w:cstheme="majorBidi"/>
          <w:sz w:val="24"/>
          <w:szCs w:val="24"/>
        </w:rPr>
        <w:t>”) through the Elections (Second Amendment) Act, 2024 (the “</w:t>
      </w:r>
      <w:r w:rsidR="002A0298" w:rsidRPr="00B2752C">
        <w:rPr>
          <w:rFonts w:ascii="Georgia" w:hAnsi="Georgia" w:cstheme="majorBidi"/>
          <w:b/>
          <w:bCs/>
          <w:sz w:val="24"/>
          <w:szCs w:val="24"/>
        </w:rPr>
        <w:t>Amendment Act</w:t>
      </w:r>
      <w:r w:rsidR="002A0298" w:rsidRPr="00B2752C">
        <w:rPr>
          <w:rFonts w:ascii="Georgia" w:hAnsi="Georgia" w:cstheme="majorBidi"/>
          <w:sz w:val="24"/>
          <w:szCs w:val="24"/>
        </w:rPr>
        <w:t>”), the short order dated 12 July 2017 (“</w:t>
      </w:r>
      <w:r w:rsidR="002A0298" w:rsidRPr="00B2752C">
        <w:rPr>
          <w:rFonts w:ascii="Georgia" w:hAnsi="Georgia" w:cstheme="majorBidi"/>
          <w:b/>
          <w:bCs/>
          <w:sz w:val="24"/>
          <w:szCs w:val="24"/>
        </w:rPr>
        <w:t>Short Order</w:t>
      </w:r>
      <w:r w:rsidR="002A0298" w:rsidRPr="00B2752C">
        <w:rPr>
          <w:rFonts w:ascii="Georgia" w:hAnsi="Georgia" w:cstheme="majorBidi"/>
          <w:sz w:val="24"/>
          <w:szCs w:val="24"/>
        </w:rPr>
        <w:t>”) passed by this Court in the titled matter “</w:t>
      </w:r>
      <w:r w:rsidR="002A0298" w:rsidRPr="00B2752C">
        <w:rPr>
          <w:rFonts w:ascii="Georgia" w:hAnsi="Georgia" w:cstheme="majorBidi"/>
          <w:i/>
          <w:iCs/>
          <w:sz w:val="24"/>
          <w:szCs w:val="24"/>
        </w:rPr>
        <w:t xml:space="preserve">is now incapable of </w:t>
      </w:r>
      <w:r w:rsidR="00F94B64" w:rsidRPr="00B2752C">
        <w:rPr>
          <w:rFonts w:ascii="Georgia" w:hAnsi="Georgia" w:cstheme="majorBidi"/>
          <w:i/>
          <w:iCs/>
          <w:sz w:val="24"/>
          <w:szCs w:val="24"/>
        </w:rPr>
        <w:t>implementation</w:t>
      </w:r>
      <w:r w:rsidR="002A0298" w:rsidRPr="00B2752C">
        <w:rPr>
          <w:rFonts w:ascii="Georgia" w:hAnsi="Georgia" w:cstheme="majorBidi"/>
          <w:sz w:val="24"/>
          <w:szCs w:val="24"/>
        </w:rPr>
        <w:t>”.</w:t>
      </w:r>
      <w:r w:rsidR="00021C25" w:rsidRPr="00B2752C">
        <w:rPr>
          <w:rFonts w:ascii="Georgia" w:hAnsi="Georgia" w:cstheme="majorBidi"/>
          <w:sz w:val="24"/>
          <w:szCs w:val="24"/>
        </w:rPr>
        <w:t xml:space="preserve"> A similar letter</w:t>
      </w:r>
      <w:r w:rsidR="009034AB">
        <w:rPr>
          <w:rFonts w:ascii="Georgia" w:hAnsi="Georgia" w:cstheme="majorBidi"/>
          <w:sz w:val="24"/>
          <w:szCs w:val="24"/>
        </w:rPr>
        <w:t xml:space="preserve"> </w:t>
      </w:r>
      <w:r w:rsidR="00021C25" w:rsidRPr="00B2752C">
        <w:rPr>
          <w:rFonts w:ascii="Georgia" w:hAnsi="Georgia" w:cstheme="majorBidi"/>
          <w:sz w:val="24"/>
          <w:szCs w:val="24"/>
        </w:rPr>
        <w:t>has also been written to the ECP by the Speaker of the Punjab Assembly (the “</w:t>
      </w:r>
      <w:r w:rsidR="00021C25" w:rsidRPr="00B2752C">
        <w:rPr>
          <w:rFonts w:ascii="Georgia" w:hAnsi="Georgia" w:cstheme="majorBidi"/>
          <w:b/>
          <w:bCs/>
          <w:sz w:val="24"/>
          <w:szCs w:val="24"/>
        </w:rPr>
        <w:t>PA Speaker’s Letter</w:t>
      </w:r>
      <w:r w:rsidR="00021C25" w:rsidRPr="00B2752C">
        <w:rPr>
          <w:rFonts w:ascii="Georgia" w:hAnsi="Georgia" w:cstheme="majorBidi"/>
          <w:sz w:val="24"/>
          <w:szCs w:val="24"/>
        </w:rPr>
        <w:t xml:space="preserve">”). </w:t>
      </w:r>
      <w:r w:rsidR="00F25992" w:rsidRPr="00B2752C">
        <w:rPr>
          <w:rFonts w:ascii="Georgia" w:hAnsi="Georgia" w:cstheme="majorBidi"/>
          <w:sz w:val="24"/>
          <w:szCs w:val="24"/>
        </w:rPr>
        <w:t xml:space="preserve">The </w:t>
      </w:r>
      <w:r w:rsidR="00021C25" w:rsidRPr="00B2752C">
        <w:rPr>
          <w:rFonts w:ascii="Georgia" w:hAnsi="Georgia" w:cstheme="majorBidi"/>
          <w:sz w:val="24"/>
          <w:szCs w:val="24"/>
        </w:rPr>
        <w:t xml:space="preserve">NA </w:t>
      </w:r>
      <w:r w:rsidR="00F25992" w:rsidRPr="00B2752C">
        <w:rPr>
          <w:rFonts w:ascii="Georgia" w:hAnsi="Georgia" w:cstheme="majorBidi"/>
          <w:sz w:val="24"/>
          <w:szCs w:val="24"/>
        </w:rPr>
        <w:lastRenderedPageBreak/>
        <w:t xml:space="preserve">Speaker’s Letter </w:t>
      </w:r>
      <w:r w:rsidR="00021C25" w:rsidRPr="00B2752C">
        <w:rPr>
          <w:rFonts w:ascii="Georgia" w:hAnsi="Georgia" w:cstheme="majorBidi"/>
          <w:sz w:val="24"/>
          <w:szCs w:val="24"/>
        </w:rPr>
        <w:t>and the PA Speaker’s Letter (collectively, the “</w:t>
      </w:r>
      <w:r w:rsidR="00021C25" w:rsidRPr="00B2752C">
        <w:rPr>
          <w:rFonts w:ascii="Georgia" w:hAnsi="Georgia" w:cstheme="majorBidi"/>
          <w:b/>
          <w:bCs/>
          <w:sz w:val="24"/>
          <w:szCs w:val="24"/>
        </w:rPr>
        <w:t>Speakers’ Letters</w:t>
      </w:r>
      <w:r w:rsidR="00021C25" w:rsidRPr="00B2752C">
        <w:rPr>
          <w:rFonts w:ascii="Georgia" w:hAnsi="Georgia" w:cstheme="majorBidi"/>
          <w:sz w:val="24"/>
          <w:szCs w:val="24"/>
        </w:rPr>
        <w:t xml:space="preserve">”) are </w:t>
      </w:r>
      <w:r w:rsidR="00F25992" w:rsidRPr="00B2752C">
        <w:rPr>
          <w:rFonts w:ascii="Georgia" w:hAnsi="Georgia" w:cstheme="majorBidi"/>
          <w:sz w:val="24"/>
          <w:szCs w:val="24"/>
        </w:rPr>
        <w:t>nothing but an attempt to obstruct implementation of the Short Order and fail to take into account that, as also clarified by this Court in the clarification order dated 14 September 2024 (the “</w:t>
      </w:r>
      <w:r w:rsidR="00F25992" w:rsidRPr="00B2752C">
        <w:rPr>
          <w:rFonts w:ascii="Georgia" w:hAnsi="Georgia" w:cstheme="majorBidi"/>
          <w:b/>
          <w:bCs/>
          <w:sz w:val="24"/>
          <w:szCs w:val="24"/>
        </w:rPr>
        <w:t>Clarification Order</w:t>
      </w:r>
      <w:r w:rsidR="00F25992" w:rsidRPr="00B2752C">
        <w:rPr>
          <w:rFonts w:ascii="Georgia" w:hAnsi="Georgia" w:cstheme="majorBidi"/>
          <w:sz w:val="24"/>
          <w:szCs w:val="24"/>
        </w:rPr>
        <w:t>”), the Short Order was passed “</w:t>
      </w:r>
      <w:r w:rsidR="00F25992" w:rsidRPr="00B2752C">
        <w:rPr>
          <w:rFonts w:ascii="Georgia" w:hAnsi="Georgia" w:cstheme="majorBidi"/>
          <w:i/>
          <w:iCs/>
          <w:sz w:val="24"/>
          <w:szCs w:val="24"/>
        </w:rPr>
        <w:t>on the constitutional plane, being the proper interpretation and understanding of the relevant constitutional provisions</w:t>
      </w:r>
      <w:r w:rsidR="00F25992" w:rsidRPr="00B2752C">
        <w:rPr>
          <w:rFonts w:ascii="Georgia" w:hAnsi="Georgia" w:cstheme="majorBidi"/>
          <w:sz w:val="24"/>
          <w:szCs w:val="24"/>
        </w:rPr>
        <w:t xml:space="preserve">”, and thus cannot be made ineffective by means of ordinary legislation such as the Amendment Act. </w:t>
      </w:r>
    </w:p>
    <w:p w14:paraId="64B4AFC8" w14:textId="77777777" w:rsidR="00C47C86" w:rsidRPr="00B2752C" w:rsidRDefault="00C47C86" w:rsidP="00C47C86">
      <w:pPr>
        <w:pStyle w:val="ListParagraph"/>
        <w:rPr>
          <w:rFonts w:ascii="Georgia" w:hAnsi="Georgia" w:cstheme="majorBidi"/>
          <w:sz w:val="24"/>
          <w:szCs w:val="24"/>
        </w:rPr>
      </w:pPr>
    </w:p>
    <w:p w14:paraId="75C8CFFE" w14:textId="0F758C4C" w:rsidR="003B3220" w:rsidRPr="00B2752C" w:rsidRDefault="006130DD" w:rsidP="003B3220">
      <w:pPr>
        <w:pStyle w:val="ListParagraph"/>
        <w:ind w:left="1440"/>
        <w:rPr>
          <w:rFonts w:ascii="Georgia" w:hAnsi="Georgia" w:cstheme="majorBidi"/>
          <w:b/>
          <w:bCs/>
          <w:sz w:val="24"/>
          <w:szCs w:val="24"/>
        </w:rPr>
      </w:pPr>
      <w:r w:rsidRPr="00B2752C">
        <w:rPr>
          <w:rFonts w:ascii="Georgia" w:hAnsi="Georgia" w:cstheme="majorBidi"/>
          <w:sz w:val="24"/>
          <w:szCs w:val="24"/>
        </w:rPr>
        <w:t xml:space="preserve">Copies </w:t>
      </w:r>
      <w:r w:rsidR="003B3220" w:rsidRPr="00B2752C">
        <w:rPr>
          <w:rFonts w:ascii="Georgia" w:hAnsi="Georgia" w:cstheme="majorBidi"/>
          <w:sz w:val="24"/>
          <w:szCs w:val="24"/>
        </w:rPr>
        <w:t>of the</w:t>
      </w:r>
      <w:r w:rsidRPr="00B2752C">
        <w:rPr>
          <w:rFonts w:ascii="Georgia" w:hAnsi="Georgia" w:cstheme="majorBidi"/>
          <w:sz w:val="24"/>
          <w:szCs w:val="24"/>
        </w:rPr>
        <w:t xml:space="preserve"> Speakers’ Letters are </w:t>
      </w:r>
      <w:r w:rsidR="003B3220" w:rsidRPr="00B2752C">
        <w:rPr>
          <w:rFonts w:ascii="Georgia" w:hAnsi="Georgia" w:cstheme="majorBidi"/>
          <w:sz w:val="24"/>
          <w:szCs w:val="24"/>
        </w:rPr>
        <w:t xml:space="preserve">attached as </w:t>
      </w:r>
      <w:r w:rsidR="003B3220" w:rsidRPr="00B2752C">
        <w:rPr>
          <w:rFonts w:ascii="Georgia" w:hAnsi="Georgia" w:cstheme="majorBidi"/>
          <w:b/>
          <w:bCs/>
          <w:sz w:val="24"/>
          <w:szCs w:val="24"/>
        </w:rPr>
        <w:t>Annexure</w:t>
      </w:r>
      <w:r w:rsidRPr="00B2752C">
        <w:rPr>
          <w:rFonts w:ascii="Georgia" w:hAnsi="Georgia" w:cstheme="majorBidi"/>
          <w:b/>
          <w:bCs/>
          <w:sz w:val="24"/>
          <w:szCs w:val="24"/>
        </w:rPr>
        <w:t>s</w:t>
      </w:r>
      <w:r w:rsidR="003B3220" w:rsidRPr="00B2752C">
        <w:rPr>
          <w:rFonts w:ascii="Georgia" w:hAnsi="Georgia" w:cstheme="majorBidi"/>
          <w:b/>
          <w:bCs/>
          <w:sz w:val="24"/>
          <w:szCs w:val="24"/>
        </w:rPr>
        <w:t xml:space="preserve"> </w:t>
      </w:r>
      <w:r w:rsidR="0029082F">
        <w:rPr>
          <w:rFonts w:ascii="Georgia" w:hAnsi="Georgia" w:cstheme="majorBidi"/>
          <w:b/>
          <w:bCs/>
          <w:sz w:val="24"/>
          <w:szCs w:val="24"/>
        </w:rPr>
        <w:t>A</w:t>
      </w:r>
      <w:r w:rsidRPr="00B2752C">
        <w:rPr>
          <w:rFonts w:ascii="Georgia" w:hAnsi="Georgia" w:cstheme="majorBidi"/>
          <w:b/>
          <w:bCs/>
          <w:sz w:val="24"/>
          <w:szCs w:val="24"/>
        </w:rPr>
        <w:t xml:space="preserve"> and</w:t>
      </w:r>
      <w:r w:rsidRPr="00B2752C">
        <w:rPr>
          <w:rFonts w:ascii="Georgia" w:hAnsi="Georgia" w:cstheme="majorBidi"/>
          <w:sz w:val="24"/>
          <w:szCs w:val="24"/>
        </w:rPr>
        <w:t xml:space="preserve"> </w:t>
      </w:r>
      <w:r w:rsidR="0029082F">
        <w:rPr>
          <w:rFonts w:ascii="Georgia" w:hAnsi="Georgia" w:cstheme="majorBidi"/>
          <w:b/>
          <w:bCs/>
          <w:sz w:val="24"/>
          <w:szCs w:val="24"/>
        </w:rPr>
        <w:t>B</w:t>
      </w:r>
      <w:r w:rsidR="003B3220" w:rsidRPr="00B2752C">
        <w:rPr>
          <w:rFonts w:ascii="Georgia" w:hAnsi="Georgia" w:cstheme="majorBidi"/>
          <w:b/>
          <w:bCs/>
          <w:sz w:val="24"/>
          <w:szCs w:val="24"/>
        </w:rPr>
        <w:t>.</w:t>
      </w:r>
    </w:p>
    <w:p w14:paraId="70362E17" w14:textId="77777777" w:rsidR="003B3220" w:rsidRPr="00B2752C" w:rsidRDefault="003B3220" w:rsidP="003B3220">
      <w:pPr>
        <w:pStyle w:val="ListParagraph"/>
        <w:ind w:left="1440"/>
        <w:rPr>
          <w:rFonts w:ascii="Georgia" w:hAnsi="Georgia" w:cstheme="majorBidi"/>
          <w:b/>
          <w:bCs/>
          <w:sz w:val="24"/>
          <w:szCs w:val="24"/>
        </w:rPr>
      </w:pPr>
    </w:p>
    <w:p w14:paraId="46A4441D" w14:textId="77777777" w:rsidR="003B3220" w:rsidRPr="00B2752C" w:rsidRDefault="003B3220" w:rsidP="00C47C86">
      <w:pPr>
        <w:pStyle w:val="ListParagraph"/>
        <w:rPr>
          <w:rFonts w:ascii="Georgia" w:hAnsi="Georgia" w:cstheme="majorBidi"/>
          <w:sz w:val="24"/>
          <w:szCs w:val="24"/>
        </w:rPr>
      </w:pPr>
    </w:p>
    <w:p w14:paraId="5F330801" w14:textId="6209890C" w:rsidR="004364C9" w:rsidRPr="00B2752C" w:rsidRDefault="004364C9" w:rsidP="004364C9">
      <w:pPr>
        <w:pStyle w:val="ListParagraph"/>
        <w:jc w:val="center"/>
        <w:rPr>
          <w:rFonts w:ascii="Georgia" w:hAnsi="Georgia" w:cstheme="majorBidi"/>
          <w:b/>
          <w:bCs/>
          <w:sz w:val="24"/>
          <w:szCs w:val="24"/>
        </w:rPr>
      </w:pPr>
      <w:r w:rsidRPr="00B2752C">
        <w:rPr>
          <w:rFonts w:ascii="Georgia" w:hAnsi="Georgia" w:cstheme="majorBidi"/>
          <w:b/>
          <w:bCs/>
          <w:sz w:val="24"/>
          <w:szCs w:val="24"/>
        </w:rPr>
        <w:t>Facts</w:t>
      </w:r>
    </w:p>
    <w:p w14:paraId="456CEF06" w14:textId="77777777" w:rsidR="004364C9" w:rsidRPr="00B2752C" w:rsidRDefault="004364C9" w:rsidP="00C47C86">
      <w:pPr>
        <w:pStyle w:val="ListParagraph"/>
        <w:rPr>
          <w:rFonts w:ascii="Georgia" w:hAnsi="Georgia" w:cstheme="majorBidi"/>
          <w:sz w:val="24"/>
          <w:szCs w:val="24"/>
        </w:rPr>
      </w:pPr>
    </w:p>
    <w:p w14:paraId="62BC1669" w14:textId="647A4D55" w:rsidR="00C47C86" w:rsidRPr="00B2752C" w:rsidRDefault="00372DFF" w:rsidP="002A029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That i</w:t>
      </w:r>
      <w:r w:rsidR="00C47C86" w:rsidRPr="00B2752C">
        <w:rPr>
          <w:rFonts w:ascii="Georgia" w:hAnsi="Georgia" w:cstheme="majorBidi"/>
          <w:sz w:val="24"/>
          <w:szCs w:val="24"/>
        </w:rPr>
        <w:t>n</w:t>
      </w:r>
      <w:r w:rsidR="0055206C" w:rsidRPr="00B2752C">
        <w:rPr>
          <w:rFonts w:ascii="Georgia" w:hAnsi="Georgia" w:cstheme="majorBidi"/>
          <w:sz w:val="24"/>
          <w:szCs w:val="24"/>
        </w:rPr>
        <w:t xml:space="preserve"> paragraph 3 of</w:t>
      </w:r>
      <w:r w:rsidR="00C47C86" w:rsidRPr="00B2752C">
        <w:rPr>
          <w:rFonts w:ascii="Georgia" w:hAnsi="Georgia" w:cstheme="majorBidi"/>
          <w:sz w:val="24"/>
          <w:szCs w:val="24"/>
        </w:rPr>
        <w:t xml:space="preserve"> the Short Order, this Court had declared that “</w:t>
      </w:r>
      <w:r w:rsidR="00C47C86" w:rsidRPr="00B2752C">
        <w:rPr>
          <w:rFonts w:ascii="Georgia" w:hAnsi="Georgia" w:cstheme="majorBidi"/>
          <w:i/>
          <w:iCs/>
          <w:sz w:val="24"/>
          <w:szCs w:val="24"/>
        </w:rPr>
        <w:t>PTI was and is a political party, which secured or won (the two terms being interchangeable) general seats in the National and Provincial Assemblies in the General Elections of 2024</w:t>
      </w:r>
      <w:r w:rsidR="00C47C86" w:rsidRPr="00B2752C">
        <w:rPr>
          <w:rFonts w:ascii="Georgia" w:hAnsi="Georgia" w:cstheme="majorBidi"/>
          <w:sz w:val="24"/>
          <w:szCs w:val="24"/>
        </w:rPr>
        <w:t xml:space="preserve">”. </w:t>
      </w:r>
      <w:r w:rsidR="00757101" w:rsidRPr="00B2752C">
        <w:rPr>
          <w:rFonts w:ascii="Georgia" w:hAnsi="Georgia" w:cstheme="majorBidi"/>
          <w:sz w:val="24"/>
          <w:szCs w:val="24"/>
        </w:rPr>
        <w:t>The Short Order had additionally held that PTI was “</w:t>
      </w:r>
      <w:r w:rsidR="00757101" w:rsidRPr="00B2752C">
        <w:rPr>
          <w:rFonts w:ascii="Georgia" w:hAnsi="Georgia" w:cstheme="majorBidi"/>
          <w:i/>
          <w:iCs/>
          <w:sz w:val="24"/>
          <w:szCs w:val="24"/>
        </w:rPr>
        <w:t>entitled to reserved seats for women and minorities in the National Assembly</w:t>
      </w:r>
      <w:r w:rsidR="00757101" w:rsidRPr="00B2752C">
        <w:rPr>
          <w:rFonts w:ascii="Georgia" w:hAnsi="Georgia" w:cstheme="majorBidi"/>
          <w:sz w:val="24"/>
          <w:szCs w:val="24"/>
        </w:rPr>
        <w:t xml:space="preserve">” on the basis of the 39 MNAs recognized as PTI returned MNAs in paragraph 7 of the Short Order and such of the 41 returned MNAs (identified in paragraph 8 of the Short Order) who issue statements of affiliation with PTI, which statements PTI </w:t>
      </w:r>
      <w:r w:rsidR="00E8242C" w:rsidRPr="00B2752C">
        <w:rPr>
          <w:rFonts w:ascii="Georgia" w:hAnsi="Georgia" w:cstheme="majorBidi"/>
          <w:sz w:val="24"/>
          <w:szCs w:val="24"/>
        </w:rPr>
        <w:t>certifies</w:t>
      </w:r>
      <w:r w:rsidR="00757101" w:rsidRPr="00B2752C">
        <w:rPr>
          <w:rFonts w:ascii="Georgia" w:hAnsi="Georgia" w:cstheme="majorBidi"/>
          <w:sz w:val="24"/>
          <w:szCs w:val="24"/>
        </w:rPr>
        <w:t xml:space="preserve"> to be correct. </w:t>
      </w:r>
    </w:p>
    <w:p w14:paraId="1C2FF5D2" w14:textId="77777777" w:rsidR="00757101" w:rsidRPr="00B2752C" w:rsidRDefault="00757101" w:rsidP="00757101">
      <w:pPr>
        <w:pStyle w:val="ListParagraph"/>
        <w:rPr>
          <w:rFonts w:ascii="Georgia" w:hAnsi="Georgia" w:cstheme="majorBidi"/>
          <w:sz w:val="24"/>
          <w:szCs w:val="24"/>
        </w:rPr>
      </w:pPr>
    </w:p>
    <w:p w14:paraId="23F9577C" w14:textId="77777777" w:rsidR="00372DFF" w:rsidRPr="00B2752C" w:rsidRDefault="00372DFF" w:rsidP="002A029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 xml:space="preserve">That </w:t>
      </w:r>
      <w:r w:rsidR="00FD5243" w:rsidRPr="00B2752C">
        <w:rPr>
          <w:rFonts w:ascii="Georgia" w:hAnsi="Georgia" w:cstheme="majorBidi"/>
          <w:sz w:val="24"/>
          <w:szCs w:val="24"/>
        </w:rPr>
        <w:t>ECP then filed an application in terms of paragraph 10 of the Short Order (CMA</w:t>
      </w:r>
      <w:r w:rsidR="009D317A" w:rsidRPr="00B2752C">
        <w:rPr>
          <w:rFonts w:ascii="Georgia" w:hAnsi="Georgia" w:cstheme="majorBidi"/>
          <w:sz w:val="24"/>
          <w:szCs w:val="24"/>
        </w:rPr>
        <w:t xml:space="preserve"> </w:t>
      </w:r>
      <w:r w:rsidR="00FD5243" w:rsidRPr="00B2752C">
        <w:rPr>
          <w:rFonts w:ascii="Georgia" w:hAnsi="Georgia" w:cstheme="majorBidi"/>
          <w:sz w:val="24"/>
          <w:szCs w:val="24"/>
        </w:rPr>
        <w:t>7540/2024) claiming</w:t>
      </w:r>
      <w:r w:rsidR="009D728D" w:rsidRPr="00B2752C">
        <w:rPr>
          <w:rFonts w:ascii="Georgia" w:hAnsi="Georgia" w:cstheme="majorBidi"/>
          <w:sz w:val="24"/>
          <w:szCs w:val="24"/>
        </w:rPr>
        <w:t xml:space="preserve"> </w:t>
      </w:r>
      <w:r w:rsidR="00FD5243" w:rsidRPr="00B2752C">
        <w:rPr>
          <w:rFonts w:ascii="Georgia" w:hAnsi="Georgia" w:cstheme="majorBidi"/>
          <w:sz w:val="24"/>
          <w:szCs w:val="24"/>
        </w:rPr>
        <w:t xml:space="preserve">that while </w:t>
      </w:r>
      <w:r w:rsidR="00E8242C" w:rsidRPr="00B2752C">
        <w:rPr>
          <w:rFonts w:ascii="Georgia" w:hAnsi="Georgia" w:cstheme="majorBidi"/>
          <w:sz w:val="24"/>
          <w:szCs w:val="24"/>
        </w:rPr>
        <w:t xml:space="preserve">certifications </w:t>
      </w:r>
      <w:r w:rsidR="00FD5243" w:rsidRPr="00B2752C">
        <w:rPr>
          <w:rFonts w:ascii="Georgia" w:hAnsi="Georgia" w:cstheme="majorBidi"/>
          <w:sz w:val="24"/>
          <w:szCs w:val="24"/>
        </w:rPr>
        <w:t>in terms of paragraph 8 of the Short Order had been filed by PTI in respect of the 41 returned MNAs identified therein, the ECP was “</w:t>
      </w:r>
      <w:r w:rsidR="00FD5243" w:rsidRPr="00B2752C">
        <w:rPr>
          <w:rFonts w:ascii="Georgia" w:hAnsi="Georgia" w:cstheme="majorBidi"/>
          <w:i/>
          <w:iCs/>
          <w:sz w:val="24"/>
          <w:szCs w:val="24"/>
        </w:rPr>
        <w:t>facing difficulty</w:t>
      </w:r>
      <w:r w:rsidR="00FD5243" w:rsidRPr="00B2752C">
        <w:rPr>
          <w:rFonts w:ascii="Georgia" w:hAnsi="Georgia" w:cstheme="majorBidi"/>
          <w:sz w:val="24"/>
          <w:szCs w:val="24"/>
        </w:rPr>
        <w:t>” in implementing the Short Order “</w:t>
      </w:r>
      <w:r w:rsidR="00FD5243" w:rsidRPr="00B2752C">
        <w:rPr>
          <w:rFonts w:ascii="Georgia" w:hAnsi="Georgia" w:cstheme="majorBidi"/>
          <w:i/>
          <w:iCs/>
          <w:sz w:val="24"/>
          <w:szCs w:val="24"/>
        </w:rPr>
        <w:t xml:space="preserve">as PTI at the moment has no organizational structure for confirmation of statements of MNAs/MPAs, purportedly belong </w:t>
      </w:r>
      <w:r w:rsidR="00FD5243" w:rsidRPr="00B2752C">
        <w:rPr>
          <w:rFonts w:ascii="Georgia" w:hAnsi="Georgia" w:cstheme="majorBidi"/>
          <w:sz w:val="24"/>
          <w:szCs w:val="24"/>
        </w:rPr>
        <w:t>[sic]</w:t>
      </w:r>
      <w:r w:rsidR="00FD5243" w:rsidRPr="00B2752C">
        <w:rPr>
          <w:rFonts w:ascii="Georgia" w:hAnsi="Georgia" w:cstheme="majorBidi"/>
          <w:i/>
          <w:iCs/>
          <w:sz w:val="24"/>
          <w:szCs w:val="24"/>
        </w:rPr>
        <w:t xml:space="preserve"> to PTI</w:t>
      </w:r>
      <w:r w:rsidR="00FD5243" w:rsidRPr="00B2752C">
        <w:rPr>
          <w:rFonts w:ascii="Georgia" w:hAnsi="Georgia" w:cstheme="majorBidi"/>
          <w:sz w:val="24"/>
          <w:szCs w:val="24"/>
        </w:rPr>
        <w:t xml:space="preserve">”. </w:t>
      </w:r>
      <w:r w:rsidR="00F25992" w:rsidRPr="00B2752C">
        <w:rPr>
          <w:rFonts w:ascii="Georgia" w:hAnsi="Georgia" w:cstheme="majorBidi"/>
          <w:sz w:val="24"/>
          <w:szCs w:val="24"/>
        </w:rPr>
        <w:t xml:space="preserve"> </w:t>
      </w:r>
    </w:p>
    <w:p w14:paraId="2F9DEA44" w14:textId="77777777" w:rsidR="00372DFF" w:rsidRPr="00B2752C" w:rsidRDefault="00372DFF" w:rsidP="00372DFF">
      <w:pPr>
        <w:pStyle w:val="ListParagraph"/>
        <w:rPr>
          <w:rFonts w:ascii="Georgia" w:hAnsi="Georgia" w:cstheme="majorBidi"/>
          <w:sz w:val="24"/>
          <w:szCs w:val="24"/>
        </w:rPr>
      </w:pPr>
    </w:p>
    <w:p w14:paraId="67B0B213" w14:textId="0E27B81F" w:rsidR="00B90023" w:rsidRPr="00B2752C" w:rsidRDefault="00372DFF" w:rsidP="002A029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 xml:space="preserve">That </w:t>
      </w:r>
      <w:r w:rsidR="00B4108B" w:rsidRPr="00B2752C">
        <w:rPr>
          <w:rFonts w:ascii="Georgia" w:hAnsi="Georgia" w:cstheme="majorBidi"/>
          <w:sz w:val="24"/>
          <w:szCs w:val="24"/>
        </w:rPr>
        <w:t xml:space="preserve">PTI filed a reply to ECP’s application through CMA 8139/2024. </w:t>
      </w:r>
    </w:p>
    <w:p w14:paraId="00AC5E18" w14:textId="77777777" w:rsidR="00B90023" w:rsidRPr="00B2752C" w:rsidRDefault="00B90023" w:rsidP="00B90023">
      <w:pPr>
        <w:pStyle w:val="ListParagraph"/>
        <w:rPr>
          <w:rFonts w:ascii="Georgia" w:hAnsi="Georgia" w:cstheme="majorBidi"/>
          <w:sz w:val="24"/>
          <w:szCs w:val="24"/>
        </w:rPr>
      </w:pPr>
    </w:p>
    <w:p w14:paraId="7F60F830" w14:textId="77777777" w:rsidR="00372DFF" w:rsidRPr="00B2752C" w:rsidRDefault="00372DFF" w:rsidP="00195F8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That o</w:t>
      </w:r>
      <w:r w:rsidR="00B90023" w:rsidRPr="00B2752C">
        <w:rPr>
          <w:rFonts w:ascii="Georgia" w:hAnsi="Georgia" w:cstheme="majorBidi"/>
          <w:sz w:val="24"/>
          <w:szCs w:val="24"/>
        </w:rPr>
        <w:t xml:space="preserve">n 14 September 2024, this Court passed the Clarification Order </w:t>
      </w:r>
      <w:r w:rsidR="00E8242C" w:rsidRPr="00B2752C">
        <w:rPr>
          <w:rFonts w:ascii="Georgia" w:hAnsi="Georgia" w:cstheme="majorBidi"/>
          <w:sz w:val="24"/>
          <w:szCs w:val="24"/>
        </w:rPr>
        <w:t>which held that the certifications issued by PTI “</w:t>
      </w:r>
      <w:r w:rsidR="00E8242C" w:rsidRPr="00B2752C">
        <w:rPr>
          <w:rFonts w:ascii="Georgia" w:hAnsi="Georgia" w:cstheme="majorBidi"/>
          <w:i/>
          <w:iCs/>
          <w:sz w:val="24"/>
          <w:szCs w:val="24"/>
        </w:rPr>
        <w:t>were correct and valid in terms of the Short Order and the continued denial and refusal of the Commission to accept the same, as and when filed, is constitutionally and legally incorrect and may expose the Commission to such further or other action as may be warranted in terms of the Constitution and the law.</w:t>
      </w:r>
      <w:r w:rsidR="00E8242C" w:rsidRPr="00B2752C">
        <w:rPr>
          <w:rFonts w:ascii="Georgia" w:hAnsi="Georgia" w:cstheme="majorBidi"/>
          <w:sz w:val="24"/>
          <w:szCs w:val="24"/>
        </w:rPr>
        <w:t>”</w:t>
      </w:r>
      <w:r w:rsidR="00F25992" w:rsidRPr="00B2752C">
        <w:rPr>
          <w:rFonts w:ascii="Georgia" w:hAnsi="Georgia" w:cstheme="majorBidi"/>
          <w:sz w:val="24"/>
          <w:szCs w:val="24"/>
        </w:rPr>
        <w:t xml:space="preserve"> </w:t>
      </w:r>
    </w:p>
    <w:p w14:paraId="461E48E4" w14:textId="77777777" w:rsidR="00372DFF" w:rsidRPr="00B2752C" w:rsidRDefault="00372DFF" w:rsidP="00372DFF">
      <w:pPr>
        <w:pStyle w:val="ListParagraph"/>
        <w:rPr>
          <w:rFonts w:ascii="Georgia" w:hAnsi="Georgia" w:cstheme="majorBidi"/>
          <w:sz w:val="24"/>
          <w:szCs w:val="24"/>
        </w:rPr>
      </w:pPr>
    </w:p>
    <w:p w14:paraId="7A72866F" w14:textId="19507469" w:rsidR="002F4525" w:rsidRPr="00B2752C" w:rsidRDefault="00372DFF" w:rsidP="00195F8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That, i</w:t>
      </w:r>
      <w:r w:rsidR="002F4525" w:rsidRPr="00B2752C">
        <w:rPr>
          <w:rFonts w:ascii="Georgia" w:hAnsi="Georgia" w:cstheme="majorBidi"/>
          <w:sz w:val="24"/>
          <w:szCs w:val="24"/>
        </w:rPr>
        <w:t>mportantly, the Clarification Order held as follows:</w:t>
      </w:r>
    </w:p>
    <w:p w14:paraId="7B476F91" w14:textId="78B4BC50" w:rsidR="002F4525" w:rsidRPr="00B2752C" w:rsidRDefault="002F4525" w:rsidP="002F4525">
      <w:pPr>
        <w:pStyle w:val="ListParagraph"/>
        <w:spacing w:line="360" w:lineRule="auto"/>
        <w:ind w:left="360"/>
        <w:jc w:val="both"/>
        <w:rPr>
          <w:rFonts w:ascii="Georgia" w:hAnsi="Georgia" w:cstheme="majorBidi"/>
          <w:sz w:val="24"/>
          <w:szCs w:val="24"/>
        </w:rPr>
      </w:pPr>
    </w:p>
    <w:p w14:paraId="22F9359B" w14:textId="0415D33C" w:rsidR="002F4525" w:rsidRPr="00B2752C" w:rsidRDefault="002F4525" w:rsidP="002F4525">
      <w:pPr>
        <w:pStyle w:val="ListParagraph"/>
        <w:spacing w:line="360" w:lineRule="auto"/>
        <w:ind w:left="1440"/>
        <w:jc w:val="both"/>
        <w:rPr>
          <w:rFonts w:ascii="Georgia" w:hAnsi="Georgia" w:cstheme="majorBidi"/>
          <w:sz w:val="24"/>
          <w:szCs w:val="24"/>
        </w:rPr>
      </w:pPr>
      <w:r w:rsidRPr="00B2752C">
        <w:rPr>
          <w:rFonts w:ascii="Georgia" w:hAnsi="Georgia" w:cstheme="majorBidi"/>
          <w:sz w:val="24"/>
          <w:szCs w:val="24"/>
        </w:rPr>
        <w:lastRenderedPageBreak/>
        <w:t>“</w:t>
      </w:r>
      <w:r w:rsidRPr="00B2752C">
        <w:rPr>
          <w:rFonts w:ascii="Georgia" w:hAnsi="Georgia" w:cstheme="majorBidi"/>
          <w:i/>
          <w:iCs/>
          <w:sz w:val="24"/>
          <w:szCs w:val="24"/>
        </w:rPr>
        <w:t xml:space="preserve">It was categorically declared in paragraph 8 of the Short Order that </w:t>
      </w:r>
      <w:r w:rsidRPr="00B2752C">
        <w:rPr>
          <w:rFonts w:ascii="Georgia" w:hAnsi="Georgia" w:cstheme="majorBidi"/>
          <w:i/>
          <w:iCs/>
          <w:sz w:val="24"/>
          <w:szCs w:val="24"/>
          <w:u w:val="single"/>
        </w:rPr>
        <w:t xml:space="preserve">on filing the requisite statement and its confirmation by the political party concerned, the seat secured by such candidate shall be </w:t>
      </w:r>
      <w:r w:rsidRPr="00B2752C">
        <w:rPr>
          <w:rFonts w:ascii="Georgia" w:hAnsi="Georgia" w:cstheme="majorBidi"/>
          <w:b/>
          <w:bCs/>
          <w:i/>
          <w:iCs/>
          <w:sz w:val="24"/>
          <w:szCs w:val="24"/>
          <w:u w:val="single"/>
        </w:rPr>
        <w:t>forthwith deemed</w:t>
      </w:r>
      <w:r w:rsidRPr="00B2752C">
        <w:rPr>
          <w:rFonts w:ascii="Georgia" w:hAnsi="Georgia" w:cstheme="majorBidi"/>
          <w:i/>
          <w:iCs/>
          <w:sz w:val="24"/>
          <w:szCs w:val="24"/>
          <w:u w:val="single"/>
        </w:rPr>
        <w:t xml:space="preserve"> to be a seat secured by that political party</w:t>
      </w:r>
      <w:r w:rsidRPr="00B2752C">
        <w:rPr>
          <w:rFonts w:ascii="Georgia" w:hAnsi="Georgia" w:cstheme="majorBidi"/>
          <w:i/>
          <w:iCs/>
          <w:sz w:val="24"/>
          <w:szCs w:val="24"/>
        </w:rPr>
        <w:t xml:space="preserve">. Therefore, </w:t>
      </w:r>
      <w:r w:rsidRPr="00B2752C">
        <w:rPr>
          <w:rFonts w:ascii="Georgia" w:hAnsi="Georgia" w:cstheme="majorBidi"/>
          <w:b/>
          <w:bCs/>
          <w:i/>
          <w:iCs/>
          <w:sz w:val="24"/>
          <w:szCs w:val="24"/>
        </w:rPr>
        <w:t>upon submission of the declarations and certifications</w:t>
      </w:r>
      <w:r w:rsidRPr="00B2752C">
        <w:rPr>
          <w:rFonts w:ascii="Georgia" w:hAnsi="Georgia" w:cstheme="majorBidi"/>
          <w:i/>
          <w:iCs/>
          <w:sz w:val="24"/>
          <w:szCs w:val="24"/>
        </w:rPr>
        <w:t xml:space="preserve"> referred to above, the position of the returned candidates (now respectively MNAs and MPAs) </w:t>
      </w:r>
      <w:r w:rsidRPr="00B2752C">
        <w:rPr>
          <w:rFonts w:ascii="Georgia" w:hAnsi="Georgia" w:cstheme="majorBidi"/>
          <w:b/>
          <w:bCs/>
          <w:i/>
          <w:iCs/>
          <w:sz w:val="24"/>
          <w:szCs w:val="24"/>
        </w:rPr>
        <w:t>immediately and ipso facto</w:t>
      </w:r>
      <w:r w:rsidRPr="00B2752C">
        <w:rPr>
          <w:rFonts w:ascii="Georgia" w:hAnsi="Georgia" w:cstheme="majorBidi"/>
          <w:i/>
          <w:iCs/>
          <w:sz w:val="24"/>
          <w:szCs w:val="24"/>
        </w:rPr>
        <w:t xml:space="preserve"> </w:t>
      </w:r>
      <w:r w:rsidRPr="00B2752C">
        <w:rPr>
          <w:rFonts w:ascii="Georgia" w:hAnsi="Georgia" w:cstheme="majorBidi"/>
          <w:i/>
          <w:iCs/>
          <w:sz w:val="24"/>
          <w:szCs w:val="24"/>
          <w:u w:val="single"/>
        </w:rPr>
        <w:t>stood determined and fixed as a matter of law</w:t>
      </w:r>
      <w:r w:rsidRPr="00B2752C">
        <w:rPr>
          <w:rFonts w:ascii="Georgia" w:hAnsi="Georgia" w:cstheme="majorBidi"/>
          <w:i/>
          <w:iCs/>
          <w:sz w:val="24"/>
          <w:szCs w:val="24"/>
        </w:rPr>
        <w:t xml:space="preserve"> </w:t>
      </w:r>
      <w:r w:rsidRPr="00B2752C">
        <w:rPr>
          <w:rFonts w:ascii="Georgia" w:hAnsi="Georgia" w:cstheme="majorBidi"/>
          <w:i/>
          <w:iCs/>
          <w:sz w:val="24"/>
          <w:szCs w:val="24"/>
          <w:u w:val="single"/>
        </w:rPr>
        <w:t xml:space="preserve">as on those dates and </w:t>
      </w:r>
      <w:r w:rsidRPr="00B2752C">
        <w:rPr>
          <w:rFonts w:ascii="Georgia" w:hAnsi="Georgia" w:cstheme="majorBidi"/>
          <w:b/>
          <w:bCs/>
          <w:i/>
          <w:iCs/>
          <w:sz w:val="24"/>
          <w:szCs w:val="24"/>
          <w:u w:val="single"/>
        </w:rPr>
        <w:t>no subsequent act can alter what became, on the respective dates, past and closed transactions</w:t>
      </w:r>
      <w:r w:rsidRPr="00B2752C">
        <w:rPr>
          <w:rFonts w:ascii="Georgia" w:hAnsi="Georgia" w:cstheme="majorBidi"/>
          <w:i/>
          <w:iCs/>
          <w:sz w:val="24"/>
          <w:szCs w:val="24"/>
        </w:rPr>
        <w:t xml:space="preserve">. As per the position so determined, </w:t>
      </w:r>
      <w:r w:rsidRPr="00B2752C">
        <w:rPr>
          <w:rFonts w:ascii="Georgia" w:hAnsi="Georgia" w:cstheme="majorBidi"/>
          <w:i/>
          <w:iCs/>
          <w:sz w:val="24"/>
          <w:szCs w:val="24"/>
          <w:u w:val="single"/>
        </w:rPr>
        <w:t xml:space="preserve">the said returned candidates were and are the returned candidates of PTI and thus members of the parliamentary party of PTI in the National Assembly and Provincial Assemblies concerned, </w:t>
      </w:r>
      <w:r w:rsidRPr="00B2752C">
        <w:rPr>
          <w:rFonts w:ascii="Georgia" w:hAnsi="Georgia" w:cstheme="majorBidi"/>
          <w:b/>
          <w:bCs/>
          <w:i/>
          <w:iCs/>
          <w:sz w:val="24"/>
          <w:szCs w:val="24"/>
          <w:u w:val="single"/>
        </w:rPr>
        <w:t>for all constitutional and legal purposes</w:t>
      </w:r>
      <w:r w:rsidRPr="00B2752C">
        <w:rPr>
          <w:rFonts w:ascii="Georgia" w:hAnsi="Georgia" w:cstheme="majorBidi"/>
          <w:sz w:val="24"/>
          <w:szCs w:val="24"/>
        </w:rPr>
        <w:t>.”</w:t>
      </w:r>
    </w:p>
    <w:p w14:paraId="4B2E6FCD" w14:textId="00270FB0" w:rsidR="002F4525" w:rsidRPr="00B2752C" w:rsidRDefault="004E406A" w:rsidP="004E406A">
      <w:pPr>
        <w:pStyle w:val="ListParagraph"/>
        <w:spacing w:line="360" w:lineRule="auto"/>
        <w:ind w:left="360"/>
        <w:jc w:val="right"/>
        <w:rPr>
          <w:rFonts w:ascii="Georgia" w:hAnsi="Georgia" w:cstheme="majorBidi"/>
          <w:sz w:val="24"/>
          <w:szCs w:val="24"/>
        </w:rPr>
      </w:pPr>
      <w:r w:rsidRPr="00B2752C">
        <w:rPr>
          <w:rFonts w:ascii="Georgia" w:hAnsi="Georgia" w:cstheme="majorBidi"/>
          <w:sz w:val="24"/>
          <w:szCs w:val="24"/>
        </w:rPr>
        <w:t>(Emphasis supplied)</w:t>
      </w:r>
    </w:p>
    <w:p w14:paraId="777E7666" w14:textId="77777777" w:rsidR="004E406A" w:rsidRPr="00B2752C" w:rsidRDefault="004E406A" w:rsidP="002F4525">
      <w:pPr>
        <w:pStyle w:val="ListParagraph"/>
        <w:spacing w:line="360" w:lineRule="auto"/>
        <w:ind w:left="360"/>
        <w:jc w:val="both"/>
        <w:rPr>
          <w:rFonts w:ascii="Georgia" w:hAnsi="Georgia" w:cstheme="majorBidi"/>
          <w:sz w:val="24"/>
          <w:szCs w:val="24"/>
        </w:rPr>
      </w:pPr>
    </w:p>
    <w:p w14:paraId="6F5B49ED" w14:textId="6D0B5EBE" w:rsidR="00757101" w:rsidRPr="00B2752C" w:rsidRDefault="00F25992" w:rsidP="00195F8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 xml:space="preserve"> </w:t>
      </w:r>
      <w:r w:rsidR="00372DFF" w:rsidRPr="00B2752C">
        <w:rPr>
          <w:rFonts w:ascii="Georgia" w:hAnsi="Georgia" w:cstheme="majorBidi"/>
          <w:sz w:val="24"/>
          <w:szCs w:val="24"/>
        </w:rPr>
        <w:t>That a</w:t>
      </w:r>
      <w:r w:rsidR="00A64C77" w:rsidRPr="00B2752C">
        <w:rPr>
          <w:rFonts w:ascii="Georgia" w:hAnsi="Georgia" w:cstheme="majorBidi"/>
          <w:sz w:val="24"/>
          <w:szCs w:val="24"/>
        </w:rPr>
        <w:t xml:space="preserve">s far as the legal basis for the Short Order was concerned, the Clarification Order </w:t>
      </w:r>
      <w:r w:rsidR="009034AB">
        <w:rPr>
          <w:rFonts w:ascii="Georgia" w:hAnsi="Georgia" w:cstheme="majorBidi"/>
          <w:sz w:val="24"/>
          <w:szCs w:val="24"/>
        </w:rPr>
        <w:t>stated</w:t>
      </w:r>
      <w:r w:rsidR="00A64C77" w:rsidRPr="00B2752C">
        <w:rPr>
          <w:rFonts w:ascii="Georgia" w:hAnsi="Georgia" w:cstheme="majorBidi"/>
          <w:sz w:val="24"/>
          <w:szCs w:val="24"/>
        </w:rPr>
        <w:t xml:space="preserve"> as follows:</w:t>
      </w:r>
    </w:p>
    <w:p w14:paraId="2FB855D3" w14:textId="2A88D7C7" w:rsidR="00A64C77" w:rsidRPr="00B2752C" w:rsidRDefault="00A64C77" w:rsidP="00A64C77">
      <w:pPr>
        <w:pStyle w:val="ListParagraph"/>
        <w:spacing w:line="360" w:lineRule="auto"/>
        <w:ind w:left="360"/>
        <w:jc w:val="both"/>
        <w:rPr>
          <w:rFonts w:ascii="Georgia" w:hAnsi="Georgia" w:cstheme="majorBidi"/>
          <w:sz w:val="24"/>
          <w:szCs w:val="24"/>
        </w:rPr>
      </w:pPr>
    </w:p>
    <w:p w14:paraId="24715316" w14:textId="5B261BB6" w:rsidR="00A64C77" w:rsidRPr="00B2752C" w:rsidRDefault="00A64C77" w:rsidP="00372DFF">
      <w:pPr>
        <w:pStyle w:val="ListParagraph"/>
        <w:spacing w:line="360" w:lineRule="auto"/>
        <w:ind w:left="1440"/>
        <w:jc w:val="both"/>
        <w:rPr>
          <w:rFonts w:ascii="Georgia" w:hAnsi="Georgia" w:cstheme="majorBidi"/>
          <w:sz w:val="24"/>
          <w:szCs w:val="24"/>
        </w:rPr>
      </w:pPr>
      <w:r w:rsidRPr="00B2752C">
        <w:rPr>
          <w:rFonts w:ascii="Georgia" w:hAnsi="Georgia" w:cstheme="majorBidi"/>
          <w:sz w:val="24"/>
          <w:szCs w:val="24"/>
        </w:rPr>
        <w:t>“</w:t>
      </w:r>
      <w:r w:rsidRPr="00B2752C">
        <w:rPr>
          <w:rFonts w:ascii="Georgia" w:hAnsi="Georgia" w:cstheme="majorBidi"/>
          <w:i/>
          <w:iCs/>
          <w:sz w:val="24"/>
          <w:szCs w:val="24"/>
        </w:rPr>
        <w:t xml:space="preserve">These paragraphs, and the preceding paragraph 3 of the Short Order, </w:t>
      </w:r>
      <w:r w:rsidRPr="00B2752C">
        <w:rPr>
          <w:rFonts w:ascii="Georgia" w:hAnsi="Georgia" w:cstheme="majorBidi"/>
          <w:i/>
          <w:iCs/>
          <w:sz w:val="24"/>
          <w:szCs w:val="24"/>
          <w:u w:val="single"/>
        </w:rPr>
        <w:t>sound on the constitutional plane, being the proper interpretation and understanding of the relevant constitutional provisions</w:t>
      </w:r>
      <w:r w:rsidRPr="00B2752C">
        <w:rPr>
          <w:rFonts w:ascii="Georgia" w:hAnsi="Georgia" w:cstheme="majorBidi"/>
          <w:i/>
          <w:iCs/>
          <w:sz w:val="24"/>
          <w:szCs w:val="24"/>
        </w:rPr>
        <w:t xml:space="preserve">. The other paragraphs of the Short Order, including in particular paragraphs 8 and 10, are consequential upon what has been held and declared in the paragraphs just noted, and </w:t>
      </w:r>
      <w:r w:rsidRPr="00B2752C">
        <w:rPr>
          <w:rFonts w:ascii="Georgia" w:hAnsi="Georgia" w:cstheme="majorBidi"/>
          <w:i/>
          <w:iCs/>
          <w:sz w:val="24"/>
          <w:szCs w:val="24"/>
          <w:u w:val="single"/>
        </w:rPr>
        <w:t>flow and emanate from, and give effect to, constitutional conclusions</w:t>
      </w:r>
      <w:r w:rsidRPr="00B2752C">
        <w:rPr>
          <w:rFonts w:ascii="Georgia" w:hAnsi="Georgia" w:cstheme="majorBidi"/>
          <w:sz w:val="24"/>
          <w:szCs w:val="24"/>
        </w:rPr>
        <w:t>.”</w:t>
      </w:r>
    </w:p>
    <w:p w14:paraId="0634624F" w14:textId="7B3AA907" w:rsidR="00A64C77" w:rsidRPr="00B2752C" w:rsidRDefault="00A64C77" w:rsidP="00A64C77">
      <w:pPr>
        <w:pStyle w:val="ListParagraph"/>
        <w:spacing w:line="360" w:lineRule="auto"/>
        <w:ind w:left="360"/>
        <w:jc w:val="right"/>
        <w:rPr>
          <w:rFonts w:ascii="Georgia" w:hAnsi="Georgia" w:cstheme="majorBidi"/>
          <w:sz w:val="24"/>
          <w:szCs w:val="24"/>
        </w:rPr>
      </w:pPr>
      <w:r w:rsidRPr="00B2752C">
        <w:rPr>
          <w:rFonts w:ascii="Georgia" w:hAnsi="Georgia" w:cstheme="majorBidi"/>
          <w:sz w:val="24"/>
          <w:szCs w:val="24"/>
        </w:rPr>
        <w:t>(Emphasis supplied)</w:t>
      </w:r>
    </w:p>
    <w:p w14:paraId="451F1FD7" w14:textId="77777777" w:rsidR="00A64C77" w:rsidRPr="00B2752C" w:rsidRDefault="00A64C77" w:rsidP="00A64C77">
      <w:pPr>
        <w:pStyle w:val="ListParagraph"/>
        <w:spacing w:line="360" w:lineRule="auto"/>
        <w:ind w:left="360"/>
        <w:jc w:val="both"/>
        <w:rPr>
          <w:rFonts w:ascii="Georgia" w:hAnsi="Georgia" w:cstheme="majorBidi"/>
          <w:sz w:val="24"/>
          <w:szCs w:val="24"/>
        </w:rPr>
      </w:pPr>
    </w:p>
    <w:p w14:paraId="75DE0721" w14:textId="0093AC10" w:rsidR="0009435F" w:rsidRPr="00B2752C" w:rsidRDefault="00372DFF" w:rsidP="00195F88">
      <w:pPr>
        <w:pStyle w:val="ListParagraph"/>
        <w:numPr>
          <w:ilvl w:val="0"/>
          <w:numId w:val="5"/>
        </w:numPr>
        <w:spacing w:line="360" w:lineRule="auto"/>
        <w:jc w:val="both"/>
        <w:rPr>
          <w:rFonts w:ascii="Georgia" w:hAnsi="Georgia" w:cstheme="majorBidi"/>
          <w:sz w:val="24"/>
          <w:szCs w:val="24"/>
        </w:rPr>
      </w:pPr>
      <w:r w:rsidRPr="00B2752C">
        <w:rPr>
          <w:rFonts w:ascii="Georgia" w:hAnsi="Georgia" w:cstheme="majorBidi"/>
          <w:sz w:val="24"/>
          <w:szCs w:val="24"/>
        </w:rPr>
        <w:t>That i</w:t>
      </w:r>
      <w:r w:rsidR="0009435F" w:rsidRPr="00B2752C">
        <w:rPr>
          <w:rFonts w:ascii="Georgia" w:hAnsi="Georgia" w:cstheme="majorBidi"/>
          <w:sz w:val="24"/>
          <w:szCs w:val="24"/>
        </w:rPr>
        <w:t xml:space="preserve">n light of the Short Order and the Clarification Order, the matter of affiliation of the </w:t>
      </w:r>
      <w:r w:rsidR="0009435F" w:rsidRPr="009034AB">
        <w:rPr>
          <w:rFonts w:ascii="Georgia" w:hAnsi="Georgia" w:cstheme="majorBidi"/>
          <w:sz w:val="24"/>
          <w:szCs w:val="24"/>
          <w:highlight w:val="yellow"/>
        </w:rPr>
        <w:t>8</w:t>
      </w:r>
      <w:r w:rsidR="009034AB" w:rsidRPr="009034AB">
        <w:rPr>
          <w:rFonts w:ascii="Georgia" w:hAnsi="Georgia" w:cstheme="majorBidi"/>
          <w:sz w:val="24"/>
          <w:szCs w:val="24"/>
          <w:highlight w:val="yellow"/>
        </w:rPr>
        <w:t>0</w:t>
      </w:r>
      <w:r w:rsidR="0009435F" w:rsidRPr="00B2752C">
        <w:rPr>
          <w:rFonts w:ascii="Georgia" w:hAnsi="Georgia" w:cstheme="majorBidi"/>
          <w:sz w:val="24"/>
          <w:szCs w:val="24"/>
        </w:rPr>
        <w:t xml:space="preserve"> returned MNAs identified in paragraph 6 of the Short Order now stands finally determined. As </w:t>
      </w:r>
      <w:r w:rsidR="00B81703" w:rsidRPr="00B2752C">
        <w:rPr>
          <w:rFonts w:ascii="Georgia" w:hAnsi="Georgia" w:cstheme="majorBidi"/>
          <w:sz w:val="24"/>
          <w:szCs w:val="24"/>
        </w:rPr>
        <w:t>clarified</w:t>
      </w:r>
      <w:r w:rsidR="0009435F" w:rsidRPr="00B2752C">
        <w:rPr>
          <w:rFonts w:ascii="Georgia" w:hAnsi="Georgia" w:cstheme="majorBidi"/>
          <w:sz w:val="24"/>
          <w:szCs w:val="24"/>
        </w:rPr>
        <w:t xml:space="preserve"> by the Clarification Order, such candidates “</w:t>
      </w:r>
      <w:r w:rsidR="0009435F" w:rsidRPr="00B2752C">
        <w:rPr>
          <w:rFonts w:ascii="Georgia" w:hAnsi="Georgia" w:cstheme="majorBidi"/>
          <w:i/>
          <w:iCs/>
          <w:sz w:val="24"/>
          <w:szCs w:val="24"/>
        </w:rPr>
        <w:t>were and are the returned candidates of PTI... for all constitutional legal purposes</w:t>
      </w:r>
      <w:r w:rsidR="0009435F" w:rsidRPr="00B2752C">
        <w:rPr>
          <w:rFonts w:ascii="Georgia" w:hAnsi="Georgia" w:cstheme="majorBidi"/>
          <w:sz w:val="24"/>
          <w:szCs w:val="24"/>
        </w:rPr>
        <w:t>”, and “</w:t>
      </w:r>
      <w:r w:rsidR="0009435F" w:rsidRPr="00B2752C">
        <w:rPr>
          <w:rFonts w:ascii="Georgia" w:hAnsi="Georgia" w:cstheme="majorBidi"/>
          <w:i/>
          <w:iCs/>
          <w:sz w:val="24"/>
          <w:szCs w:val="24"/>
        </w:rPr>
        <w:t>no subsequent acts</w:t>
      </w:r>
      <w:r w:rsidRPr="00B2752C">
        <w:rPr>
          <w:rFonts w:ascii="Georgia" w:hAnsi="Georgia" w:cstheme="majorBidi"/>
          <w:i/>
          <w:iCs/>
          <w:sz w:val="24"/>
          <w:szCs w:val="24"/>
        </w:rPr>
        <w:t xml:space="preserve">” </w:t>
      </w:r>
      <w:r w:rsidR="00451CE6" w:rsidRPr="00B2752C">
        <w:rPr>
          <w:rFonts w:ascii="Georgia" w:hAnsi="Georgia" w:cstheme="majorBidi"/>
          <w:sz w:val="24"/>
          <w:szCs w:val="24"/>
        </w:rPr>
        <w:t>can alter this position.</w:t>
      </w:r>
      <w:r w:rsidRPr="00B2752C">
        <w:rPr>
          <w:rFonts w:ascii="Georgia" w:hAnsi="Georgia" w:cstheme="majorBidi"/>
          <w:sz w:val="24"/>
          <w:szCs w:val="24"/>
        </w:rPr>
        <w:t xml:space="preserve"> The position having crystallised on the Constitutional plane, it cannot be modified by ordinary legislation such as the Amendment Act.</w:t>
      </w:r>
    </w:p>
    <w:p w14:paraId="48E9DF39" w14:textId="77777777" w:rsidR="0009435F" w:rsidRPr="00B2752C" w:rsidRDefault="0009435F" w:rsidP="0009435F">
      <w:pPr>
        <w:pStyle w:val="ListParagraph"/>
        <w:spacing w:line="360" w:lineRule="auto"/>
        <w:ind w:left="360"/>
        <w:jc w:val="both"/>
        <w:rPr>
          <w:rFonts w:ascii="Georgia" w:hAnsi="Georgia" w:cstheme="majorBidi"/>
          <w:sz w:val="24"/>
          <w:szCs w:val="24"/>
        </w:rPr>
      </w:pPr>
    </w:p>
    <w:p w14:paraId="6796BF52" w14:textId="71397AAD" w:rsidR="000D6F3F" w:rsidRPr="00B2752C" w:rsidRDefault="00372DFF" w:rsidP="000D6F3F">
      <w:pPr>
        <w:pStyle w:val="ListParagraph"/>
        <w:numPr>
          <w:ilvl w:val="0"/>
          <w:numId w:val="5"/>
        </w:numPr>
        <w:spacing w:line="360" w:lineRule="auto"/>
        <w:ind w:hanging="502"/>
        <w:jc w:val="both"/>
        <w:rPr>
          <w:rFonts w:ascii="Georgia" w:hAnsi="Georgia" w:cstheme="majorBidi"/>
          <w:sz w:val="24"/>
          <w:szCs w:val="24"/>
        </w:rPr>
      </w:pPr>
      <w:r w:rsidRPr="00B2752C">
        <w:rPr>
          <w:rFonts w:ascii="Georgia" w:hAnsi="Georgia" w:cstheme="majorBidi"/>
          <w:sz w:val="24"/>
          <w:szCs w:val="24"/>
        </w:rPr>
        <w:t xml:space="preserve">That the foregoing is entirely consistent with </w:t>
      </w:r>
      <w:r w:rsidR="002A2CC0" w:rsidRPr="00B2752C">
        <w:rPr>
          <w:rFonts w:ascii="Georgia" w:hAnsi="Georgia" w:cstheme="majorBidi"/>
          <w:sz w:val="24"/>
          <w:szCs w:val="24"/>
        </w:rPr>
        <w:t xml:space="preserve">settled law that interpretations of </w:t>
      </w:r>
      <w:r w:rsidR="00B2752C" w:rsidRPr="00B2752C">
        <w:rPr>
          <w:rFonts w:ascii="Georgia" w:hAnsi="Georgia" w:cstheme="majorBidi"/>
          <w:sz w:val="24"/>
          <w:szCs w:val="24"/>
        </w:rPr>
        <w:t>C</w:t>
      </w:r>
      <w:r w:rsidR="002A2CC0" w:rsidRPr="00B2752C">
        <w:rPr>
          <w:rFonts w:ascii="Georgia" w:hAnsi="Georgia" w:cstheme="majorBidi"/>
          <w:sz w:val="24"/>
          <w:szCs w:val="24"/>
        </w:rPr>
        <w:t xml:space="preserve">onstitutional provisions by this Court, which the Short Order admittedly was, form part of the Constitution and cannot be undone through ordinary legislation. </w:t>
      </w:r>
      <w:r w:rsidR="002A2CC0" w:rsidRPr="00B2752C">
        <w:rPr>
          <w:rFonts w:ascii="Georgia" w:hAnsi="Georgia" w:cstheme="majorBidi"/>
          <w:sz w:val="24"/>
          <w:szCs w:val="24"/>
        </w:rPr>
        <w:lastRenderedPageBreak/>
        <w:t xml:space="preserve">Reference in this regard may be made to, </w:t>
      </w:r>
      <w:r w:rsidR="002A2CC0" w:rsidRPr="00B2752C">
        <w:rPr>
          <w:rFonts w:ascii="Georgia" w:hAnsi="Georgia" w:cstheme="majorBidi"/>
          <w:i/>
          <w:iCs/>
          <w:sz w:val="24"/>
          <w:szCs w:val="24"/>
        </w:rPr>
        <w:t>inter alia</w:t>
      </w:r>
      <w:r w:rsidR="002A2CC0" w:rsidRPr="00B2752C">
        <w:rPr>
          <w:rFonts w:ascii="Georgia" w:hAnsi="Georgia" w:cstheme="majorBidi"/>
          <w:sz w:val="24"/>
          <w:szCs w:val="24"/>
        </w:rPr>
        <w:t xml:space="preserve">, </w:t>
      </w:r>
      <w:r w:rsidR="002A2CC0" w:rsidRPr="00B2752C">
        <w:rPr>
          <w:rFonts w:ascii="Georgia" w:hAnsi="Georgia" w:cstheme="majorBidi"/>
          <w:sz w:val="24"/>
          <w:szCs w:val="24"/>
          <w:u w:val="single"/>
        </w:rPr>
        <w:t>Al-Jehad Trust v. Federation of Pakistan</w:t>
      </w:r>
      <w:r w:rsidR="002A2CC0" w:rsidRPr="00B2752C">
        <w:rPr>
          <w:rFonts w:ascii="Georgia" w:hAnsi="Georgia" w:cstheme="majorBidi"/>
          <w:sz w:val="24"/>
          <w:szCs w:val="24"/>
        </w:rPr>
        <w:t>, PLD 1997 SC 84, 146, 193</w:t>
      </w:r>
      <w:r w:rsidRPr="00B2752C">
        <w:rPr>
          <w:rFonts w:ascii="Georgia" w:hAnsi="Georgia" w:cstheme="majorBidi"/>
          <w:sz w:val="24"/>
          <w:szCs w:val="24"/>
        </w:rPr>
        <w:t xml:space="preserve">; </w:t>
      </w:r>
      <w:r w:rsidRPr="00B2752C">
        <w:rPr>
          <w:rFonts w:ascii="Georgia" w:hAnsi="Georgia"/>
          <w:sz w:val="24"/>
          <w:szCs w:val="24"/>
          <w:u w:val="single"/>
        </w:rPr>
        <w:t>Ghulam Mohiuddin v. Federation of Pakistan</w:t>
      </w:r>
      <w:r w:rsidRPr="00B2752C">
        <w:rPr>
          <w:rFonts w:ascii="Georgia" w:hAnsi="Georgia"/>
          <w:sz w:val="24"/>
          <w:szCs w:val="24"/>
        </w:rPr>
        <w:t>, PLD 2023 SC 825</w:t>
      </w:r>
      <w:r w:rsidR="00B2752C" w:rsidRPr="00B2752C">
        <w:rPr>
          <w:rFonts w:ascii="Georgia" w:hAnsi="Georgia"/>
          <w:sz w:val="24"/>
          <w:szCs w:val="24"/>
        </w:rPr>
        <w:t>, 897 para 23;</w:t>
      </w:r>
      <w:r w:rsidRPr="00B2752C">
        <w:rPr>
          <w:rFonts w:ascii="Georgia" w:hAnsi="Georgia"/>
          <w:sz w:val="24"/>
          <w:szCs w:val="24"/>
        </w:rPr>
        <w:t xml:space="preserve"> </w:t>
      </w:r>
      <w:r w:rsidR="002A2CC0" w:rsidRPr="00B2752C">
        <w:rPr>
          <w:rFonts w:ascii="Georgia" w:hAnsi="Georgia" w:cstheme="majorBidi"/>
          <w:sz w:val="24"/>
          <w:szCs w:val="24"/>
        </w:rPr>
        <w:t xml:space="preserve"> and </w:t>
      </w:r>
      <w:r w:rsidR="002A2CC0" w:rsidRPr="00B2752C">
        <w:rPr>
          <w:rFonts w:ascii="Georgia" w:hAnsi="Georgia" w:cstheme="majorBidi"/>
          <w:sz w:val="24"/>
          <w:szCs w:val="24"/>
          <w:u w:val="single"/>
        </w:rPr>
        <w:t>T.U. Plastic Industry Co. (Pvt.) Ltd. v. Federation of Pakistan</w:t>
      </w:r>
      <w:r w:rsidR="002A2CC0" w:rsidRPr="00B2752C">
        <w:rPr>
          <w:rFonts w:ascii="Georgia" w:hAnsi="Georgia" w:cstheme="majorBidi"/>
          <w:sz w:val="24"/>
          <w:szCs w:val="24"/>
        </w:rPr>
        <w:t>, 2019 PTD 1542, 1550</w:t>
      </w:r>
      <w:r w:rsidR="000D6F3F" w:rsidRPr="00B2752C">
        <w:rPr>
          <w:rFonts w:ascii="Georgia" w:hAnsi="Georgia" w:cstheme="majorBidi"/>
          <w:sz w:val="24"/>
          <w:szCs w:val="24"/>
        </w:rPr>
        <w:t xml:space="preserve">, </w:t>
      </w:r>
      <w:r w:rsidR="000D6F3F" w:rsidRPr="00B2752C">
        <w:rPr>
          <w:rFonts w:ascii="Georgia" w:hAnsi="Georgia"/>
          <w:sz w:val="24"/>
          <w:szCs w:val="24"/>
          <w:u w:val="single"/>
        </w:rPr>
        <w:t>Saleem Ahmad Jan v. Deputy Commissioner, Islamabad</w:t>
      </w:r>
      <w:r w:rsidR="000D6F3F" w:rsidRPr="00B2752C">
        <w:rPr>
          <w:rFonts w:ascii="Georgia" w:hAnsi="Georgia"/>
          <w:sz w:val="24"/>
          <w:szCs w:val="24"/>
        </w:rPr>
        <w:t xml:space="preserve">, 2024 CLC 953, 963 para 15; </w:t>
      </w:r>
      <w:r w:rsidR="000D6F3F" w:rsidRPr="00B2752C">
        <w:rPr>
          <w:rFonts w:ascii="Georgia" w:hAnsi="Georgia"/>
          <w:sz w:val="24"/>
          <w:szCs w:val="24"/>
          <w:u w:val="single"/>
        </w:rPr>
        <w:t>Dickerson v. United States</w:t>
      </w:r>
      <w:r w:rsidR="000D6F3F" w:rsidRPr="00B2752C">
        <w:rPr>
          <w:rFonts w:ascii="Georgia" w:hAnsi="Georgia"/>
          <w:sz w:val="24"/>
          <w:szCs w:val="24"/>
        </w:rPr>
        <w:t xml:space="preserve">, 530 US 428, 437; 147 L Ed 2d 405, 415 citing </w:t>
      </w:r>
      <w:r w:rsidR="000D6F3F" w:rsidRPr="00B2752C">
        <w:rPr>
          <w:rFonts w:ascii="Georgia" w:hAnsi="Georgia"/>
          <w:sz w:val="24"/>
          <w:szCs w:val="24"/>
          <w:u w:val="single"/>
        </w:rPr>
        <w:t>City of Boerne v. Flores</w:t>
      </w:r>
      <w:r w:rsidR="000D6F3F" w:rsidRPr="00B2752C">
        <w:rPr>
          <w:rFonts w:ascii="Georgia" w:hAnsi="Georgia"/>
          <w:sz w:val="24"/>
          <w:szCs w:val="24"/>
        </w:rPr>
        <w:t>, 521 US 507, 517-521; 138 L Ed 2d 624</w:t>
      </w:r>
      <w:r w:rsidR="002A2CC0" w:rsidRPr="00B2752C">
        <w:rPr>
          <w:rFonts w:ascii="Georgia" w:hAnsi="Georgia" w:cstheme="majorBidi"/>
          <w:sz w:val="24"/>
          <w:szCs w:val="24"/>
        </w:rPr>
        <w:t>.</w:t>
      </w:r>
      <w:r w:rsidR="00451CE6" w:rsidRPr="00B2752C">
        <w:rPr>
          <w:rFonts w:ascii="Georgia" w:hAnsi="Georgia" w:cstheme="majorBidi"/>
          <w:sz w:val="24"/>
          <w:szCs w:val="24"/>
        </w:rPr>
        <w:t xml:space="preserve"> As such, contrary to what is claimed by the Speakers’ Letters, the Amendment Act imposes no hurdles in the “</w:t>
      </w:r>
      <w:r w:rsidR="00451CE6" w:rsidRPr="00B2752C">
        <w:rPr>
          <w:rFonts w:ascii="Georgia" w:hAnsi="Georgia" w:cstheme="majorBidi"/>
          <w:i/>
          <w:iCs/>
          <w:sz w:val="24"/>
          <w:szCs w:val="24"/>
        </w:rPr>
        <w:t>implementation</w:t>
      </w:r>
      <w:r w:rsidR="00451CE6" w:rsidRPr="00B2752C">
        <w:rPr>
          <w:rFonts w:ascii="Georgia" w:hAnsi="Georgia" w:cstheme="majorBidi"/>
          <w:sz w:val="24"/>
          <w:szCs w:val="24"/>
        </w:rPr>
        <w:t>” of the Short Order</w:t>
      </w:r>
      <w:r w:rsidR="007D0E3D">
        <w:rPr>
          <w:rFonts w:ascii="Georgia" w:hAnsi="Georgia" w:cstheme="majorBidi"/>
          <w:sz w:val="24"/>
          <w:szCs w:val="24"/>
        </w:rPr>
        <w:t>; the latter will prevail over the former.</w:t>
      </w:r>
    </w:p>
    <w:p w14:paraId="1D36A8B9" w14:textId="77777777" w:rsidR="000D6F3F" w:rsidRPr="00B2752C" w:rsidRDefault="000D6F3F" w:rsidP="000D6F3F">
      <w:pPr>
        <w:pStyle w:val="ListParagraph"/>
        <w:rPr>
          <w:rFonts w:ascii="Georgia" w:hAnsi="Georgia" w:cstheme="majorBidi"/>
          <w:sz w:val="24"/>
          <w:szCs w:val="24"/>
        </w:rPr>
      </w:pPr>
    </w:p>
    <w:p w14:paraId="70AA8089" w14:textId="42C11A25" w:rsidR="00B2752C" w:rsidRPr="00B2752C" w:rsidRDefault="000D6F3F" w:rsidP="00B2752C">
      <w:pPr>
        <w:pStyle w:val="ListParagraph"/>
        <w:numPr>
          <w:ilvl w:val="0"/>
          <w:numId w:val="5"/>
        </w:numPr>
        <w:spacing w:line="360" w:lineRule="auto"/>
        <w:ind w:hanging="502"/>
        <w:jc w:val="both"/>
        <w:rPr>
          <w:rFonts w:ascii="Georgia" w:hAnsi="Georgia" w:cstheme="majorBidi"/>
          <w:sz w:val="24"/>
          <w:szCs w:val="24"/>
        </w:rPr>
      </w:pPr>
      <w:r w:rsidRPr="00B2752C">
        <w:rPr>
          <w:rFonts w:ascii="Georgia" w:hAnsi="Georgia" w:cstheme="majorBidi"/>
          <w:sz w:val="24"/>
          <w:szCs w:val="24"/>
        </w:rPr>
        <w:t>That any law which falls foul of the Constitution, as interpreted by this Court</w:t>
      </w:r>
      <w:r w:rsidR="00B2752C" w:rsidRPr="00B2752C">
        <w:rPr>
          <w:rFonts w:ascii="Georgia" w:hAnsi="Georgia" w:cstheme="majorBidi"/>
          <w:sz w:val="24"/>
          <w:szCs w:val="24"/>
        </w:rPr>
        <w:t>,</w:t>
      </w:r>
      <w:r w:rsidRPr="00B2752C">
        <w:rPr>
          <w:rFonts w:ascii="Georgia" w:hAnsi="Georgia" w:cstheme="majorBidi"/>
          <w:sz w:val="24"/>
          <w:szCs w:val="24"/>
        </w:rPr>
        <w:t xml:space="preserve"> can be challenged even in collateral proceedings, as held in </w:t>
      </w:r>
      <w:r w:rsidRPr="00B2752C">
        <w:rPr>
          <w:rFonts w:ascii="Georgia" w:hAnsi="Georgia"/>
          <w:sz w:val="24"/>
          <w:szCs w:val="24"/>
          <w:u w:val="single"/>
        </w:rPr>
        <w:t>Muhammad Hanif Abbasi v. Jahangir Khan Tareen</w:t>
      </w:r>
      <w:r w:rsidRPr="00B2752C">
        <w:rPr>
          <w:rFonts w:ascii="Georgia" w:hAnsi="Georgia"/>
          <w:sz w:val="24"/>
          <w:szCs w:val="24"/>
        </w:rPr>
        <w:t xml:space="preserve">, PLD 2018 SC 114, 143; </w:t>
      </w:r>
      <w:r w:rsidRPr="00B2752C">
        <w:rPr>
          <w:rFonts w:ascii="Georgia" w:hAnsi="Georgia"/>
          <w:sz w:val="24"/>
          <w:szCs w:val="24"/>
          <w:u w:val="single"/>
        </w:rPr>
        <w:t>Saleem Ahmad Jan v. Deputy Commissioner, Islamabad</w:t>
      </w:r>
      <w:r w:rsidRPr="00B2752C">
        <w:rPr>
          <w:rFonts w:ascii="Georgia" w:hAnsi="Georgia"/>
          <w:sz w:val="24"/>
          <w:szCs w:val="24"/>
        </w:rPr>
        <w:t xml:space="preserve">, 2024 CLC 953, 961 paras 10, 11; </w:t>
      </w:r>
      <w:r w:rsidR="00B2752C" w:rsidRPr="00B2752C">
        <w:rPr>
          <w:rFonts w:ascii="Georgia" w:hAnsi="Georgia"/>
          <w:sz w:val="24"/>
          <w:szCs w:val="24"/>
          <w:u w:val="single"/>
        </w:rPr>
        <w:t>Imran Ahmad Khan Niazi v. PEMRA</w:t>
      </w:r>
      <w:r w:rsidR="00B2752C" w:rsidRPr="00B2752C">
        <w:rPr>
          <w:rFonts w:ascii="Georgia" w:hAnsi="Georgia"/>
          <w:sz w:val="24"/>
          <w:szCs w:val="24"/>
        </w:rPr>
        <w:t xml:space="preserve">, 2024 CLC 584, 592 para 15. In the words of </w:t>
      </w:r>
      <w:r w:rsidR="00B2752C" w:rsidRPr="00B2752C">
        <w:rPr>
          <w:rFonts w:ascii="Georgia" w:hAnsi="Georgia"/>
          <w:bCs/>
          <w:sz w:val="24"/>
          <w:szCs w:val="24"/>
        </w:rPr>
        <w:t xml:space="preserve">Salahuddin Ahmed J in </w:t>
      </w:r>
      <w:r w:rsidR="00B2752C" w:rsidRPr="00B2752C">
        <w:rPr>
          <w:rFonts w:ascii="Georgia" w:hAnsi="Georgia"/>
          <w:bCs/>
          <w:sz w:val="24"/>
          <w:szCs w:val="24"/>
          <w:u w:val="single"/>
        </w:rPr>
        <w:t>Manzoor Elahi v. Federation of Pakistan</w:t>
      </w:r>
      <w:r w:rsidR="00B2752C" w:rsidRPr="00B2752C">
        <w:rPr>
          <w:rFonts w:ascii="Georgia" w:hAnsi="Georgia"/>
          <w:bCs/>
          <w:sz w:val="24"/>
          <w:szCs w:val="24"/>
        </w:rPr>
        <w:t>, PLD 1975 SC 66, 102: “</w:t>
      </w:r>
      <w:r w:rsidR="00B2752C" w:rsidRPr="00B2752C">
        <w:rPr>
          <w:rFonts w:ascii="Georgia" w:hAnsi="Georgia"/>
          <w:bCs/>
          <w:i/>
          <w:iCs/>
          <w:sz w:val="24"/>
          <w:szCs w:val="24"/>
        </w:rPr>
        <w:t>... the ‘will’ of the Constitution reigns supreme, and nobody can be permitted to flout the ‘will’. So far as a superior Court is concerned whenever and wherever it comes across anything done in violation of the provisions of the Constitution, it must declare such thing as void</w:t>
      </w:r>
      <w:r w:rsidR="00B2752C" w:rsidRPr="00B2752C">
        <w:rPr>
          <w:rFonts w:ascii="Georgia" w:hAnsi="Georgia"/>
          <w:bCs/>
          <w:sz w:val="24"/>
          <w:szCs w:val="24"/>
        </w:rPr>
        <w:t>.”</w:t>
      </w:r>
    </w:p>
    <w:p w14:paraId="3258EBFA" w14:textId="77777777" w:rsidR="00B2752C" w:rsidRPr="00B2752C" w:rsidRDefault="00B2752C" w:rsidP="00B2752C">
      <w:pPr>
        <w:pStyle w:val="ListParagraph"/>
        <w:rPr>
          <w:rFonts w:ascii="Georgia" w:hAnsi="Georgia" w:cstheme="majorBidi"/>
          <w:sz w:val="24"/>
          <w:szCs w:val="24"/>
        </w:rPr>
      </w:pPr>
    </w:p>
    <w:p w14:paraId="0777EBE2" w14:textId="3477BB0A" w:rsidR="005B1416" w:rsidRDefault="00B2752C" w:rsidP="00B2752C">
      <w:pPr>
        <w:pStyle w:val="ListParagraph"/>
        <w:numPr>
          <w:ilvl w:val="0"/>
          <w:numId w:val="5"/>
        </w:numPr>
        <w:spacing w:line="360" w:lineRule="auto"/>
        <w:ind w:hanging="502"/>
        <w:jc w:val="both"/>
        <w:rPr>
          <w:rFonts w:ascii="Georgia" w:hAnsi="Georgia" w:cstheme="majorBidi"/>
          <w:sz w:val="24"/>
          <w:szCs w:val="24"/>
        </w:rPr>
      </w:pPr>
      <w:r>
        <w:rPr>
          <w:rFonts w:ascii="Georgia" w:hAnsi="Georgia" w:cstheme="majorBidi"/>
          <w:sz w:val="24"/>
          <w:szCs w:val="24"/>
        </w:rPr>
        <w:t>That, h</w:t>
      </w:r>
      <w:r w:rsidR="0084183C" w:rsidRPr="00B2752C">
        <w:rPr>
          <w:rFonts w:ascii="Georgia" w:hAnsi="Georgia" w:cstheme="majorBidi"/>
          <w:sz w:val="24"/>
          <w:szCs w:val="24"/>
        </w:rPr>
        <w:t>owever, considering ECP’s prejudice towards the PTI,</w:t>
      </w:r>
      <w:r>
        <w:rPr>
          <w:rFonts w:ascii="Georgia" w:hAnsi="Georgia" w:cstheme="majorBidi"/>
          <w:sz w:val="24"/>
          <w:szCs w:val="24"/>
        </w:rPr>
        <w:t xml:space="preserve"> and its recalcitrance in implementing the Short Order,</w:t>
      </w:r>
      <w:r w:rsidR="0084183C" w:rsidRPr="00B2752C">
        <w:rPr>
          <w:rFonts w:ascii="Georgia" w:hAnsi="Georgia" w:cstheme="majorBidi"/>
          <w:sz w:val="24"/>
          <w:szCs w:val="24"/>
        </w:rPr>
        <w:t xml:space="preserve"> which has already been recognized in the Clarification Order, PTI fears that the ECP will </w:t>
      </w:r>
      <w:r w:rsidR="009034AB">
        <w:rPr>
          <w:rFonts w:ascii="Georgia" w:hAnsi="Georgia" w:cstheme="majorBidi"/>
          <w:sz w:val="24"/>
          <w:szCs w:val="24"/>
        </w:rPr>
        <w:t>use</w:t>
      </w:r>
      <w:r w:rsidR="0084183C" w:rsidRPr="00B2752C">
        <w:rPr>
          <w:rFonts w:ascii="Georgia" w:hAnsi="Georgia" w:cstheme="majorBidi"/>
          <w:sz w:val="24"/>
          <w:szCs w:val="24"/>
        </w:rPr>
        <w:t xml:space="preserve"> the Speakers’ Letter</w:t>
      </w:r>
      <w:r>
        <w:rPr>
          <w:rFonts w:ascii="Georgia" w:hAnsi="Georgia" w:cstheme="majorBidi"/>
          <w:sz w:val="24"/>
          <w:szCs w:val="24"/>
        </w:rPr>
        <w:t>s</w:t>
      </w:r>
      <w:r w:rsidR="00DB1279" w:rsidRPr="00B2752C">
        <w:rPr>
          <w:rFonts w:ascii="Georgia" w:hAnsi="Georgia" w:cstheme="majorBidi"/>
          <w:sz w:val="24"/>
          <w:szCs w:val="24"/>
        </w:rPr>
        <w:t xml:space="preserve"> to </w:t>
      </w:r>
      <w:r w:rsidR="00F52041">
        <w:rPr>
          <w:rFonts w:ascii="Georgia" w:hAnsi="Georgia" w:cstheme="majorBidi"/>
          <w:sz w:val="24"/>
          <w:szCs w:val="24"/>
        </w:rPr>
        <w:t xml:space="preserve">wrongly </w:t>
      </w:r>
      <w:r w:rsidR="00DB1279" w:rsidRPr="00B2752C">
        <w:rPr>
          <w:rFonts w:ascii="Georgia" w:hAnsi="Georgia" w:cstheme="majorBidi"/>
          <w:sz w:val="24"/>
          <w:szCs w:val="24"/>
        </w:rPr>
        <w:t>refuse implementation of the Short Order and will instead declare PTI’s returned candidates as independents and will allocate reserved seats to other political parties on such basis. Thus</w:t>
      </w:r>
      <w:r>
        <w:rPr>
          <w:rFonts w:ascii="Georgia" w:hAnsi="Georgia" w:cstheme="majorBidi"/>
          <w:sz w:val="24"/>
          <w:szCs w:val="24"/>
        </w:rPr>
        <w:t>,</w:t>
      </w:r>
      <w:r w:rsidR="00DB1279" w:rsidRPr="00B2752C">
        <w:rPr>
          <w:rFonts w:ascii="Georgia" w:hAnsi="Georgia" w:cstheme="majorBidi"/>
          <w:sz w:val="24"/>
          <w:szCs w:val="24"/>
        </w:rPr>
        <w:t xml:space="preserve"> this application. </w:t>
      </w:r>
    </w:p>
    <w:p w14:paraId="6508CD10" w14:textId="77777777" w:rsidR="009034AB" w:rsidRPr="009034AB" w:rsidRDefault="009034AB" w:rsidP="009034AB">
      <w:pPr>
        <w:pStyle w:val="ListParagraph"/>
        <w:rPr>
          <w:rFonts w:ascii="Georgia" w:hAnsi="Georgia" w:cstheme="majorBidi"/>
          <w:sz w:val="24"/>
          <w:szCs w:val="24"/>
        </w:rPr>
      </w:pPr>
    </w:p>
    <w:p w14:paraId="53FB26B5" w14:textId="1ECF4E85" w:rsidR="009034AB" w:rsidRPr="00B2752C" w:rsidRDefault="009034AB" w:rsidP="00B2752C">
      <w:pPr>
        <w:pStyle w:val="ListParagraph"/>
        <w:numPr>
          <w:ilvl w:val="0"/>
          <w:numId w:val="5"/>
        </w:numPr>
        <w:spacing w:line="360" w:lineRule="auto"/>
        <w:ind w:hanging="502"/>
        <w:jc w:val="both"/>
        <w:rPr>
          <w:rFonts w:ascii="Georgia" w:hAnsi="Georgia" w:cstheme="majorBidi"/>
          <w:sz w:val="24"/>
          <w:szCs w:val="24"/>
        </w:rPr>
      </w:pPr>
      <w:r>
        <w:rPr>
          <w:rFonts w:ascii="Georgia" w:hAnsi="Georgia" w:cstheme="majorBidi"/>
          <w:sz w:val="24"/>
          <w:szCs w:val="24"/>
        </w:rPr>
        <w:t>That it is also clear that the Speakers’ Letters</w:t>
      </w:r>
      <w:r w:rsidR="00F52041">
        <w:rPr>
          <w:rFonts w:ascii="Georgia" w:hAnsi="Georgia" w:cstheme="majorBidi"/>
          <w:sz w:val="24"/>
          <w:szCs w:val="24"/>
        </w:rPr>
        <w:t xml:space="preserve">, and the ECP conduct pursuant thereto, </w:t>
      </w:r>
      <w:r>
        <w:rPr>
          <w:rFonts w:ascii="Georgia" w:hAnsi="Georgia" w:cstheme="majorBidi"/>
          <w:sz w:val="24"/>
          <w:szCs w:val="24"/>
        </w:rPr>
        <w:t xml:space="preserve"> are a blatant and contumacious attempt at hindering and obstructing the implementation of the orders of this Court. As such, appropriate proceedings, including those for contempt of court, may, if considered appropriate, be initiated against the relevant personnel, especially the Chief Election Commissioner and Members of the ECP. However, that is a matter of the consideration of the court.</w:t>
      </w:r>
    </w:p>
    <w:p w14:paraId="39BFF6D8" w14:textId="77777777" w:rsidR="00FE3E88" w:rsidRPr="00B2752C" w:rsidRDefault="00FE3E88" w:rsidP="00FE3E88">
      <w:pPr>
        <w:spacing w:line="360" w:lineRule="auto"/>
        <w:jc w:val="both"/>
        <w:rPr>
          <w:rFonts w:ascii="Georgia" w:hAnsi="Georgia" w:cstheme="majorBidi"/>
          <w:sz w:val="24"/>
          <w:szCs w:val="24"/>
        </w:rPr>
      </w:pPr>
    </w:p>
    <w:p w14:paraId="46516195" w14:textId="3B19625A" w:rsidR="007D7B08" w:rsidRPr="00B2752C" w:rsidRDefault="00FE3E88" w:rsidP="007D7B08">
      <w:pPr>
        <w:spacing w:line="360" w:lineRule="auto"/>
        <w:jc w:val="both"/>
        <w:rPr>
          <w:rFonts w:ascii="Georgia" w:hAnsi="Georgia" w:cstheme="majorBidi"/>
          <w:sz w:val="24"/>
          <w:szCs w:val="24"/>
        </w:rPr>
      </w:pPr>
      <w:r w:rsidRPr="00B2752C">
        <w:rPr>
          <w:rFonts w:ascii="Georgia" w:hAnsi="Georgia" w:cstheme="majorBidi"/>
          <w:b/>
          <w:bCs/>
          <w:sz w:val="24"/>
          <w:szCs w:val="24"/>
        </w:rPr>
        <w:t xml:space="preserve">Prayer </w:t>
      </w:r>
    </w:p>
    <w:p w14:paraId="5C1B34AB" w14:textId="4B00AB12" w:rsidR="002A0298" w:rsidRPr="00B2752C" w:rsidRDefault="007D7B08" w:rsidP="00DD37AF">
      <w:pPr>
        <w:spacing w:line="360" w:lineRule="auto"/>
        <w:jc w:val="both"/>
        <w:rPr>
          <w:rFonts w:ascii="Georgia" w:hAnsi="Georgia" w:cstheme="majorBidi"/>
          <w:sz w:val="24"/>
          <w:szCs w:val="24"/>
          <w:lang w:val="en-US"/>
        </w:rPr>
      </w:pPr>
      <w:r w:rsidRPr="00B2752C">
        <w:rPr>
          <w:rFonts w:ascii="Georgia" w:hAnsi="Georgia" w:cstheme="majorBidi"/>
          <w:sz w:val="24"/>
          <w:szCs w:val="24"/>
        </w:rPr>
        <w:t>In light of the above, it is most respectfully prayed that this Court may graciously be pleased t</w:t>
      </w:r>
      <w:r w:rsidR="00DD37AF" w:rsidRPr="00B2752C">
        <w:rPr>
          <w:rFonts w:ascii="Georgia" w:hAnsi="Georgia" w:cstheme="majorBidi"/>
          <w:sz w:val="24"/>
          <w:szCs w:val="24"/>
          <w:lang w:val="en-US"/>
        </w:rPr>
        <w:t>o</w:t>
      </w:r>
      <w:r w:rsidR="00B2752C">
        <w:rPr>
          <w:rFonts w:ascii="Georgia" w:hAnsi="Georgia" w:cstheme="majorBidi"/>
          <w:sz w:val="24"/>
          <w:szCs w:val="24"/>
          <w:lang w:val="en-US"/>
        </w:rPr>
        <w:t xml:space="preserve"> clarify that:</w:t>
      </w:r>
    </w:p>
    <w:p w14:paraId="1E90D096" w14:textId="157453E7" w:rsidR="00B80B34" w:rsidRPr="00B2752C" w:rsidRDefault="00582B6F" w:rsidP="00F52041">
      <w:pPr>
        <w:pStyle w:val="ListParagraph"/>
        <w:numPr>
          <w:ilvl w:val="0"/>
          <w:numId w:val="4"/>
        </w:numPr>
        <w:spacing w:line="360" w:lineRule="auto"/>
        <w:jc w:val="both"/>
        <w:rPr>
          <w:rFonts w:ascii="Georgia" w:hAnsi="Georgia" w:cstheme="majorBidi"/>
          <w:sz w:val="24"/>
          <w:szCs w:val="24"/>
        </w:rPr>
      </w:pPr>
      <w:r w:rsidRPr="00B2752C">
        <w:rPr>
          <w:rFonts w:ascii="Georgia" w:hAnsi="Georgia" w:cstheme="majorBidi"/>
          <w:sz w:val="24"/>
          <w:szCs w:val="24"/>
        </w:rPr>
        <w:lastRenderedPageBreak/>
        <w:t>the Elections (Second Amendment) Act, 2024</w:t>
      </w:r>
      <w:r w:rsidR="00B2752C">
        <w:rPr>
          <w:rFonts w:ascii="Georgia" w:hAnsi="Georgia" w:cstheme="majorBidi"/>
          <w:sz w:val="24"/>
          <w:szCs w:val="24"/>
        </w:rPr>
        <w:t>,</w:t>
      </w:r>
      <w:r w:rsidRPr="00B2752C">
        <w:rPr>
          <w:rFonts w:ascii="Georgia" w:hAnsi="Georgia" w:cstheme="majorBidi"/>
          <w:sz w:val="24"/>
          <w:szCs w:val="24"/>
        </w:rPr>
        <w:t xml:space="preserve"> has no bearing o</w:t>
      </w:r>
      <w:r w:rsidR="00B2752C">
        <w:rPr>
          <w:rFonts w:ascii="Georgia" w:hAnsi="Georgia" w:cstheme="majorBidi"/>
          <w:sz w:val="24"/>
          <w:szCs w:val="24"/>
        </w:rPr>
        <w:t>r</w:t>
      </w:r>
      <w:r w:rsidRPr="00B2752C">
        <w:rPr>
          <w:rFonts w:ascii="Georgia" w:hAnsi="Georgia" w:cstheme="majorBidi"/>
          <w:sz w:val="24"/>
          <w:szCs w:val="24"/>
        </w:rPr>
        <w:t xml:space="preserve"> </w:t>
      </w:r>
      <w:r w:rsidR="00B2752C">
        <w:rPr>
          <w:rFonts w:ascii="Georgia" w:hAnsi="Georgia" w:cstheme="majorBidi"/>
          <w:sz w:val="24"/>
          <w:szCs w:val="24"/>
        </w:rPr>
        <w:t xml:space="preserve">effect </w:t>
      </w:r>
      <w:r w:rsidR="00F52041">
        <w:rPr>
          <w:rFonts w:ascii="Georgia" w:hAnsi="Georgia" w:cstheme="majorBidi"/>
          <w:sz w:val="24"/>
          <w:szCs w:val="24"/>
        </w:rPr>
        <w:t>on the</w:t>
      </w:r>
      <w:r w:rsidR="00B2752C">
        <w:rPr>
          <w:rFonts w:ascii="Georgia" w:hAnsi="Georgia" w:cstheme="majorBidi"/>
          <w:sz w:val="24"/>
          <w:szCs w:val="24"/>
        </w:rPr>
        <w:t xml:space="preserve"> binding nature of</w:t>
      </w:r>
      <w:r w:rsidR="00F52041">
        <w:rPr>
          <w:rFonts w:ascii="Georgia" w:hAnsi="Georgia" w:cstheme="majorBidi"/>
          <w:sz w:val="24"/>
          <w:szCs w:val="24"/>
        </w:rPr>
        <w:t xml:space="preserve"> the</w:t>
      </w:r>
      <w:r w:rsidR="00B2752C">
        <w:rPr>
          <w:rFonts w:ascii="Georgia" w:hAnsi="Georgia" w:cstheme="majorBidi"/>
          <w:sz w:val="24"/>
          <w:szCs w:val="24"/>
        </w:rPr>
        <w:t xml:space="preserve"> </w:t>
      </w:r>
      <w:r w:rsidR="00B2752C" w:rsidRPr="00B2752C">
        <w:rPr>
          <w:rFonts w:ascii="Georgia" w:hAnsi="Georgia" w:cstheme="majorBidi"/>
          <w:sz w:val="24"/>
          <w:szCs w:val="24"/>
        </w:rPr>
        <w:t>Short Order dated 12 July 2024</w:t>
      </w:r>
      <w:r w:rsidR="00B2752C">
        <w:rPr>
          <w:rFonts w:ascii="Georgia" w:hAnsi="Georgia" w:cstheme="majorBidi"/>
          <w:sz w:val="24"/>
          <w:szCs w:val="24"/>
        </w:rPr>
        <w:t xml:space="preserve"> and </w:t>
      </w:r>
      <w:r w:rsidRPr="00B2752C">
        <w:rPr>
          <w:rFonts w:ascii="Georgia" w:hAnsi="Georgia" w:cstheme="majorBidi"/>
          <w:sz w:val="24"/>
          <w:szCs w:val="24"/>
        </w:rPr>
        <w:t xml:space="preserve">the implementation </w:t>
      </w:r>
      <w:r w:rsidR="00B2752C">
        <w:rPr>
          <w:rFonts w:ascii="Georgia" w:hAnsi="Georgia" w:cstheme="majorBidi"/>
          <w:sz w:val="24"/>
          <w:szCs w:val="24"/>
        </w:rPr>
        <w:t xml:space="preserve">thereof cannot be refused on the basis of </w:t>
      </w:r>
      <w:r w:rsidRPr="00B2752C">
        <w:rPr>
          <w:rFonts w:ascii="Georgia" w:hAnsi="Georgia" w:cstheme="majorBidi"/>
          <w:sz w:val="24"/>
          <w:szCs w:val="24"/>
        </w:rPr>
        <w:t>the</w:t>
      </w:r>
      <w:r w:rsidR="00B2752C">
        <w:rPr>
          <w:rFonts w:ascii="Georgia" w:hAnsi="Georgia" w:cstheme="majorBidi"/>
          <w:sz w:val="24"/>
          <w:szCs w:val="24"/>
        </w:rPr>
        <w:t xml:space="preserve"> said statute</w:t>
      </w:r>
      <w:r w:rsidR="00103CF1" w:rsidRPr="00B2752C">
        <w:rPr>
          <w:rFonts w:ascii="Georgia" w:hAnsi="Georgia" w:cstheme="majorBidi"/>
          <w:sz w:val="24"/>
          <w:szCs w:val="24"/>
        </w:rPr>
        <w:t>;</w:t>
      </w:r>
    </w:p>
    <w:p w14:paraId="52A761FF" w14:textId="65B22B70" w:rsidR="00103CF1" w:rsidRPr="00B2752C" w:rsidRDefault="00103CF1" w:rsidP="009034AB">
      <w:pPr>
        <w:pStyle w:val="ListParagraph"/>
        <w:spacing w:line="360" w:lineRule="auto"/>
        <w:ind w:left="630"/>
        <w:rPr>
          <w:rFonts w:ascii="Georgia" w:hAnsi="Georgia" w:cstheme="majorBidi"/>
          <w:sz w:val="24"/>
          <w:szCs w:val="24"/>
        </w:rPr>
      </w:pPr>
    </w:p>
    <w:p w14:paraId="56E7C0A6" w14:textId="2AC3728D" w:rsidR="00103CF1" w:rsidRPr="00B2752C" w:rsidRDefault="00103CF1" w:rsidP="00F52041">
      <w:pPr>
        <w:pStyle w:val="ListParagraph"/>
        <w:numPr>
          <w:ilvl w:val="0"/>
          <w:numId w:val="4"/>
        </w:numPr>
        <w:spacing w:line="360" w:lineRule="auto"/>
        <w:jc w:val="both"/>
        <w:rPr>
          <w:rFonts w:ascii="Georgia" w:hAnsi="Georgia" w:cstheme="majorBidi"/>
          <w:sz w:val="24"/>
          <w:szCs w:val="24"/>
        </w:rPr>
      </w:pPr>
      <w:r w:rsidRPr="00B2752C">
        <w:rPr>
          <w:rFonts w:ascii="Georgia" w:hAnsi="Georgia" w:cstheme="majorBidi"/>
          <w:sz w:val="24"/>
          <w:szCs w:val="24"/>
        </w:rPr>
        <w:t xml:space="preserve">the NA Speaker’s Letter and the PA Speaker’s Letter </w:t>
      </w:r>
      <w:r w:rsidR="009034AB">
        <w:rPr>
          <w:rFonts w:ascii="Georgia" w:hAnsi="Georgia" w:cstheme="majorBidi"/>
          <w:sz w:val="24"/>
          <w:szCs w:val="24"/>
        </w:rPr>
        <w:t xml:space="preserve">do not set out the correct Constitutional and legal position, </w:t>
      </w:r>
      <w:r w:rsidRPr="00B2752C">
        <w:rPr>
          <w:rFonts w:ascii="Georgia" w:hAnsi="Georgia" w:cstheme="majorBidi"/>
          <w:sz w:val="24"/>
          <w:szCs w:val="24"/>
        </w:rPr>
        <w:t>have no legal effect</w:t>
      </w:r>
      <w:r w:rsidR="009034AB">
        <w:rPr>
          <w:rFonts w:ascii="Georgia" w:hAnsi="Georgia" w:cstheme="majorBidi"/>
          <w:sz w:val="24"/>
          <w:szCs w:val="24"/>
        </w:rPr>
        <w:t xml:space="preserve"> on the </w:t>
      </w:r>
      <w:r w:rsidR="009034AB" w:rsidRPr="00B2752C">
        <w:rPr>
          <w:rFonts w:ascii="Georgia" w:hAnsi="Georgia" w:cstheme="majorBidi"/>
          <w:sz w:val="24"/>
          <w:szCs w:val="24"/>
        </w:rPr>
        <w:t>Short Order dated 12 July 2024</w:t>
      </w:r>
      <w:r w:rsidR="007B4BAC" w:rsidRPr="00B2752C">
        <w:rPr>
          <w:rFonts w:ascii="Georgia" w:hAnsi="Georgia" w:cstheme="majorBidi"/>
          <w:sz w:val="24"/>
          <w:szCs w:val="24"/>
        </w:rPr>
        <w:t xml:space="preserve"> and</w:t>
      </w:r>
      <w:r w:rsidR="009034AB">
        <w:rPr>
          <w:rFonts w:ascii="Georgia" w:hAnsi="Georgia" w:cstheme="majorBidi"/>
          <w:sz w:val="24"/>
          <w:szCs w:val="24"/>
        </w:rPr>
        <w:t xml:space="preserve"> are liable to be ignored by the </w:t>
      </w:r>
      <w:r w:rsidR="009034AB" w:rsidRPr="00B2752C">
        <w:rPr>
          <w:rFonts w:ascii="Georgia" w:hAnsi="Georgia" w:cstheme="majorBidi"/>
          <w:sz w:val="24"/>
          <w:szCs w:val="24"/>
        </w:rPr>
        <w:t>Election Commission of Pakistan</w:t>
      </w:r>
      <w:r w:rsidR="009034AB">
        <w:rPr>
          <w:rFonts w:ascii="Georgia" w:hAnsi="Georgia" w:cstheme="majorBidi"/>
          <w:sz w:val="24"/>
          <w:szCs w:val="24"/>
        </w:rPr>
        <w:t>;</w:t>
      </w:r>
    </w:p>
    <w:p w14:paraId="13D68A2E" w14:textId="7D1FF72E" w:rsidR="00103CF1" w:rsidRPr="00B2752C" w:rsidRDefault="00103CF1" w:rsidP="009034AB">
      <w:pPr>
        <w:pStyle w:val="ListParagraph"/>
        <w:spacing w:line="360" w:lineRule="auto"/>
        <w:rPr>
          <w:rFonts w:ascii="Georgia" w:hAnsi="Georgia" w:cstheme="majorBidi"/>
          <w:sz w:val="24"/>
          <w:szCs w:val="24"/>
        </w:rPr>
      </w:pPr>
    </w:p>
    <w:p w14:paraId="63237291" w14:textId="6C861109" w:rsidR="00103CF1" w:rsidRDefault="00103CF1" w:rsidP="00F52041">
      <w:pPr>
        <w:pStyle w:val="ListParagraph"/>
        <w:numPr>
          <w:ilvl w:val="0"/>
          <w:numId w:val="4"/>
        </w:numPr>
        <w:spacing w:line="360" w:lineRule="auto"/>
        <w:jc w:val="both"/>
        <w:rPr>
          <w:rFonts w:ascii="Georgia" w:hAnsi="Georgia" w:cstheme="majorBidi"/>
          <w:sz w:val="24"/>
          <w:szCs w:val="24"/>
        </w:rPr>
      </w:pPr>
      <w:r w:rsidRPr="00B2752C">
        <w:rPr>
          <w:rFonts w:ascii="Georgia" w:hAnsi="Georgia" w:cstheme="majorBidi"/>
          <w:sz w:val="24"/>
          <w:szCs w:val="24"/>
        </w:rPr>
        <w:t xml:space="preserve">the Election Commission of Pakistan </w:t>
      </w:r>
      <w:r w:rsidR="009034AB">
        <w:rPr>
          <w:rFonts w:ascii="Georgia" w:hAnsi="Georgia" w:cstheme="majorBidi"/>
          <w:sz w:val="24"/>
          <w:szCs w:val="24"/>
        </w:rPr>
        <w:t xml:space="preserve">is bound </w:t>
      </w:r>
      <w:r w:rsidRPr="00B2752C">
        <w:rPr>
          <w:rFonts w:ascii="Georgia" w:hAnsi="Georgia" w:cstheme="majorBidi"/>
          <w:sz w:val="24"/>
          <w:szCs w:val="24"/>
        </w:rPr>
        <w:t>to implement the Short Order dated 12 July 2024, as clarified by the Clarification Order dated 14 September 2024</w:t>
      </w:r>
      <w:r w:rsidR="009034AB">
        <w:rPr>
          <w:rFonts w:ascii="Georgia" w:hAnsi="Georgia" w:cstheme="majorBidi"/>
          <w:sz w:val="24"/>
          <w:szCs w:val="24"/>
        </w:rPr>
        <w:t>, in letter and spirit.</w:t>
      </w:r>
    </w:p>
    <w:p w14:paraId="3A84997F" w14:textId="77777777" w:rsidR="00BB3D01" w:rsidRPr="00BB3D01" w:rsidRDefault="00BB3D01" w:rsidP="00BB3D01">
      <w:pPr>
        <w:spacing w:line="360" w:lineRule="auto"/>
        <w:jc w:val="both"/>
        <w:rPr>
          <w:rFonts w:ascii="Georgia" w:hAnsi="Georgia" w:cstheme="majorBidi"/>
          <w:sz w:val="24"/>
          <w:szCs w:val="24"/>
        </w:rPr>
      </w:pPr>
    </w:p>
    <w:p w14:paraId="2403A2AD" w14:textId="78180838" w:rsidR="00BB3D01" w:rsidRPr="00B2752C" w:rsidRDefault="00BB3D01" w:rsidP="00F52041">
      <w:pPr>
        <w:pStyle w:val="ListParagraph"/>
        <w:numPr>
          <w:ilvl w:val="0"/>
          <w:numId w:val="4"/>
        </w:numPr>
        <w:spacing w:line="360" w:lineRule="auto"/>
        <w:jc w:val="both"/>
        <w:rPr>
          <w:rFonts w:ascii="Georgia" w:hAnsi="Georgia" w:cstheme="majorBidi"/>
          <w:sz w:val="24"/>
          <w:szCs w:val="24"/>
        </w:rPr>
      </w:pPr>
      <w:r>
        <w:rPr>
          <w:rFonts w:ascii="Georgia" w:hAnsi="Georgia" w:cstheme="majorBidi"/>
          <w:sz w:val="24"/>
          <w:szCs w:val="24"/>
        </w:rPr>
        <w:t xml:space="preserve">Pending determination of this matter, ECP may kindly be restrained from allocating the subject </w:t>
      </w:r>
      <w:bookmarkStart w:id="0" w:name="_GoBack"/>
      <w:bookmarkEnd w:id="0"/>
      <w:r>
        <w:rPr>
          <w:rFonts w:ascii="Georgia" w:hAnsi="Georgia" w:cstheme="majorBidi"/>
          <w:sz w:val="24"/>
          <w:szCs w:val="24"/>
        </w:rPr>
        <w:t>reserved seats to any other party;</w:t>
      </w:r>
    </w:p>
    <w:p w14:paraId="58CA6508" w14:textId="77777777" w:rsidR="00103CF1" w:rsidRPr="00B2752C" w:rsidRDefault="00103CF1" w:rsidP="00103CF1">
      <w:pPr>
        <w:pStyle w:val="ListParagraph"/>
        <w:rPr>
          <w:rFonts w:ascii="Georgia" w:hAnsi="Georgia" w:cstheme="majorBidi"/>
          <w:sz w:val="24"/>
          <w:szCs w:val="24"/>
        </w:rPr>
      </w:pPr>
    </w:p>
    <w:p w14:paraId="19C7BC55" w14:textId="259957DF" w:rsidR="00B80B34" w:rsidRPr="00B2752C" w:rsidRDefault="00B80B34" w:rsidP="00B80B34">
      <w:pPr>
        <w:spacing w:line="360" w:lineRule="auto"/>
        <w:jc w:val="both"/>
        <w:rPr>
          <w:rFonts w:ascii="Georgia" w:hAnsi="Georgia" w:cstheme="majorBidi"/>
          <w:sz w:val="24"/>
          <w:szCs w:val="24"/>
        </w:rPr>
      </w:pPr>
      <w:r w:rsidRPr="00B2752C">
        <w:rPr>
          <w:rFonts w:ascii="Georgia" w:hAnsi="Georgia" w:cstheme="majorBidi"/>
          <w:sz w:val="24"/>
          <w:szCs w:val="24"/>
        </w:rPr>
        <w:t xml:space="preserve">Such other relief as is deemed just and fit in all the circumstances of the case may also graciously be granted. </w:t>
      </w:r>
    </w:p>
    <w:p w14:paraId="0A496F6C" w14:textId="77777777" w:rsidR="009729AB" w:rsidRPr="00B2752C" w:rsidRDefault="009729AB" w:rsidP="009729AB">
      <w:pPr>
        <w:spacing w:line="360" w:lineRule="auto"/>
        <w:jc w:val="right"/>
        <w:rPr>
          <w:rFonts w:ascii="Georgia" w:hAnsi="Georgia" w:cstheme="majorBidi"/>
          <w:b/>
          <w:sz w:val="24"/>
          <w:szCs w:val="24"/>
          <w:lang w:val="en-US"/>
        </w:rPr>
      </w:pPr>
    </w:p>
    <w:p w14:paraId="57EF35EC" w14:textId="47550197" w:rsidR="009729AB" w:rsidRPr="00B2752C" w:rsidRDefault="009729AB" w:rsidP="009729AB">
      <w:pPr>
        <w:spacing w:line="360" w:lineRule="auto"/>
        <w:jc w:val="right"/>
        <w:rPr>
          <w:rFonts w:ascii="Georgia" w:hAnsi="Georgia" w:cstheme="majorBidi"/>
          <w:b/>
          <w:sz w:val="24"/>
          <w:szCs w:val="24"/>
        </w:rPr>
      </w:pPr>
      <w:r w:rsidRPr="00B2752C">
        <w:rPr>
          <w:rFonts w:ascii="Georgia" w:hAnsi="Georgia" w:cstheme="majorBidi"/>
          <w:b/>
          <w:sz w:val="24"/>
          <w:szCs w:val="24"/>
          <w:lang w:val="en-US"/>
        </w:rPr>
        <w:t>Pakistan Tehreek-e-Insaf</w:t>
      </w:r>
    </w:p>
    <w:p w14:paraId="0EF48EE8" w14:textId="77777777" w:rsidR="009729AB" w:rsidRPr="00B2752C" w:rsidRDefault="009729AB" w:rsidP="009729AB">
      <w:pPr>
        <w:spacing w:line="360" w:lineRule="auto"/>
        <w:jc w:val="center"/>
        <w:rPr>
          <w:rFonts w:ascii="Georgia" w:hAnsi="Georgia" w:cstheme="majorBidi"/>
          <w:b/>
          <w:sz w:val="24"/>
          <w:szCs w:val="24"/>
          <w:lang w:val="en-US"/>
        </w:rPr>
      </w:pPr>
      <w:r w:rsidRPr="00B2752C">
        <w:rPr>
          <w:rFonts w:ascii="Georgia" w:hAnsi="Georgia" w:cstheme="majorBidi"/>
          <w:b/>
          <w:sz w:val="24"/>
          <w:szCs w:val="24"/>
          <w:lang w:val="en-US"/>
        </w:rPr>
        <w:t>through</w:t>
      </w:r>
    </w:p>
    <w:p w14:paraId="571B0A89" w14:textId="77777777" w:rsidR="009729AB" w:rsidRPr="00B2752C" w:rsidRDefault="009729AB" w:rsidP="009729AB">
      <w:pPr>
        <w:spacing w:line="360" w:lineRule="auto"/>
        <w:jc w:val="both"/>
        <w:rPr>
          <w:rFonts w:ascii="Georgia" w:hAnsi="Georgia" w:cstheme="majorBidi"/>
          <w:sz w:val="24"/>
          <w:szCs w:val="24"/>
          <w:lang w:val="en-US"/>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68"/>
        <w:gridCol w:w="3978"/>
      </w:tblGrid>
      <w:tr w:rsidR="009729AB" w:rsidRPr="00B2752C" w14:paraId="38818220" w14:textId="77777777" w:rsidTr="009729AB">
        <w:tc>
          <w:tcPr>
            <w:tcW w:w="3294" w:type="dxa"/>
            <w:hideMark/>
          </w:tcPr>
          <w:p w14:paraId="437002B6" w14:textId="77777777" w:rsidR="009729AB" w:rsidRPr="00B2752C" w:rsidRDefault="009729AB" w:rsidP="009729AB">
            <w:pPr>
              <w:spacing w:after="160" w:line="360" w:lineRule="auto"/>
              <w:jc w:val="both"/>
              <w:rPr>
                <w:rFonts w:ascii="Georgia" w:hAnsi="Georgia" w:cstheme="majorBidi"/>
                <w:b/>
                <w:sz w:val="24"/>
                <w:szCs w:val="24"/>
                <w:lang w:val="en-US"/>
              </w:rPr>
            </w:pPr>
            <w:r w:rsidRPr="00B2752C">
              <w:rPr>
                <w:rFonts w:ascii="Georgia" w:hAnsi="Georgia" w:cstheme="majorBidi"/>
                <w:b/>
                <w:sz w:val="24"/>
                <w:szCs w:val="24"/>
                <w:lang w:val="en-US"/>
              </w:rPr>
              <w:t xml:space="preserve">  Drawn and settled by</w:t>
            </w:r>
          </w:p>
        </w:tc>
        <w:tc>
          <w:tcPr>
            <w:tcW w:w="2268" w:type="dxa"/>
          </w:tcPr>
          <w:p w14:paraId="3B24CAE5" w14:textId="77777777" w:rsidR="009729AB" w:rsidRPr="00B2752C" w:rsidRDefault="009729AB" w:rsidP="009729AB">
            <w:pPr>
              <w:spacing w:after="160" w:line="360" w:lineRule="auto"/>
              <w:jc w:val="both"/>
              <w:rPr>
                <w:rFonts w:ascii="Georgia" w:hAnsi="Georgia" w:cstheme="majorBidi"/>
                <w:b/>
                <w:sz w:val="24"/>
                <w:szCs w:val="24"/>
                <w:lang w:val="en-US"/>
              </w:rPr>
            </w:pPr>
          </w:p>
          <w:p w14:paraId="0D8897AC" w14:textId="77777777" w:rsidR="009729AB" w:rsidRPr="00B2752C" w:rsidRDefault="009729AB" w:rsidP="009729AB">
            <w:pPr>
              <w:spacing w:after="160" w:line="360" w:lineRule="auto"/>
              <w:jc w:val="both"/>
              <w:rPr>
                <w:rFonts w:ascii="Georgia" w:hAnsi="Georgia" w:cstheme="majorBidi"/>
                <w:b/>
                <w:sz w:val="24"/>
                <w:szCs w:val="24"/>
                <w:lang w:val="en-US"/>
              </w:rPr>
            </w:pPr>
          </w:p>
          <w:p w14:paraId="4C2F6B37" w14:textId="77777777" w:rsidR="009729AB" w:rsidRPr="00B2752C" w:rsidRDefault="009729AB" w:rsidP="009729AB">
            <w:pPr>
              <w:spacing w:after="160" w:line="360" w:lineRule="auto"/>
              <w:jc w:val="both"/>
              <w:rPr>
                <w:rFonts w:ascii="Georgia" w:hAnsi="Georgia" w:cstheme="majorBidi"/>
                <w:b/>
                <w:sz w:val="24"/>
                <w:szCs w:val="24"/>
                <w:lang w:val="en-US"/>
              </w:rPr>
            </w:pPr>
          </w:p>
          <w:p w14:paraId="5230ECA1" w14:textId="77777777" w:rsidR="009729AB" w:rsidRPr="00B2752C" w:rsidRDefault="009729AB" w:rsidP="009729AB">
            <w:pPr>
              <w:spacing w:after="160" w:line="360" w:lineRule="auto"/>
              <w:jc w:val="both"/>
              <w:rPr>
                <w:rFonts w:ascii="Georgia" w:hAnsi="Georgia" w:cstheme="majorBidi"/>
                <w:b/>
                <w:sz w:val="24"/>
                <w:szCs w:val="24"/>
                <w:lang w:val="en-US"/>
              </w:rPr>
            </w:pPr>
          </w:p>
        </w:tc>
        <w:tc>
          <w:tcPr>
            <w:tcW w:w="3978" w:type="dxa"/>
          </w:tcPr>
          <w:p w14:paraId="39F2B98D" w14:textId="77777777" w:rsidR="009729AB" w:rsidRPr="00B2752C" w:rsidRDefault="009729AB" w:rsidP="009729AB">
            <w:pPr>
              <w:spacing w:after="160" w:line="360" w:lineRule="auto"/>
              <w:jc w:val="both"/>
              <w:rPr>
                <w:rFonts w:ascii="Georgia" w:hAnsi="Georgia" w:cstheme="majorBidi"/>
                <w:b/>
                <w:sz w:val="24"/>
                <w:szCs w:val="24"/>
                <w:lang w:val="en-US"/>
              </w:rPr>
            </w:pPr>
            <w:r w:rsidRPr="00B2752C">
              <w:rPr>
                <w:rFonts w:ascii="Georgia" w:hAnsi="Georgia" w:cstheme="majorBidi"/>
                <w:b/>
                <w:sz w:val="24"/>
                <w:szCs w:val="24"/>
                <w:lang w:val="en-US"/>
              </w:rPr>
              <w:t>Filed by</w:t>
            </w:r>
          </w:p>
          <w:p w14:paraId="2FC520A1" w14:textId="77777777" w:rsidR="009729AB" w:rsidRPr="00B2752C" w:rsidRDefault="009729AB" w:rsidP="009729AB">
            <w:pPr>
              <w:spacing w:after="160" w:line="360" w:lineRule="auto"/>
              <w:jc w:val="both"/>
              <w:rPr>
                <w:rFonts w:ascii="Georgia" w:hAnsi="Georgia" w:cstheme="majorBidi"/>
                <w:b/>
                <w:sz w:val="24"/>
                <w:szCs w:val="24"/>
                <w:lang w:val="en-US"/>
              </w:rPr>
            </w:pPr>
          </w:p>
        </w:tc>
      </w:tr>
      <w:tr w:rsidR="009729AB" w:rsidRPr="00B2752C" w14:paraId="4760064E" w14:textId="77777777" w:rsidTr="009729AB">
        <w:tc>
          <w:tcPr>
            <w:tcW w:w="3294" w:type="dxa"/>
          </w:tcPr>
          <w:p w14:paraId="5B69E3F5" w14:textId="77777777" w:rsidR="009729AB" w:rsidRPr="00B2752C" w:rsidRDefault="009729AB" w:rsidP="00D7571F">
            <w:pPr>
              <w:jc w:val="both"/>
              <w:rPr>
                <w:rFonts w:ascii="Georgia" w:hAnsi="Georgia" w:cstheme="majorBidi"/>
                <w:b/>
                <w:bCs/>
                <w:sz w:val="24"/>
                <w:szCs w:val="24"/>
                <w:lang w:val="en-US"/>
              </w:rPr>
            </w:pPr>
            <w:r w:rsidRPr="00B2752C">
              <w:rPr>
                <w:rFonts w:ascii="Georgia" w:hAnsi="Georgia" w:cstheme="majorBidi"/>
                <w:b/>
                <w:bCs/>
                <w:sz w:val="24"/>
                <w:szCs w:val="24"/>
                <w:lang w:val="en-US"/>
              </w:rPr>
              <w:t>Uzair Karamat Bhandari</w:t>
            </w:r>
          </w:p>
          <w:p w14:paraId="085B2225"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Advocate Supreme Court</w:t>
            </w:r>
          </w:p>
          <w:p w14:paraId="2B39ADC0" w14:textId="77777777" w:rsidR="009729AB" w:rsidRPr="00B2752C" w:rsidRDefault="009729AB" w:rsidP="00D7571F">
            <w:pPr>
              <w:jc w:val="both"/>
              <w:rPr>
                <w:rFonts w:ascii="Georgia" w:hAnsi="Georgia" w:cstheme="majorBidi"/>
                <w:bCs/>
                <w:sz w:val="24"/>
                <w:szCs w:val="24"/>
                <w:lang w:val="en-US"/>
              </w:rPr>
            </w:pPr>
            <w:r w:rsidRPr="00B2752C">
              <w:rPr>
                <w:rFonts w:ascii="Georgia" w:hAnsi="Georgia" w:cstheme="majorBidi"/>
                <w:bCs/>
                <w:sz w:val="24"/>
                <w:szCs w:val="24"/>
                <w:lang w:val="en-US"/>
              </w:rPr>
              <w:t>Bhandari, Naqvi Riaz</w:t>
            </w:r>
          </w:p>
          <w:p w14:paraId="5ECB5D17"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15 Zafar Ali Road, Gulberg V, Lahore</w:t>
            </w:r>
          </w:p>
          <w:p w14:paraId="3ABF19FE"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 xml:space="preserve">Cell: 0300-9446456 </w:t>
            </w:r>
          </w:p>
          <w:p w14:paraId="5054E88F" w14:textId="77777777" w:rsidR="009729AB" w:rsidRPr="00B2752C" w:rsidRDefault="009729AB" w:rsidP="00D7571F">
            <w:pPr>
              <w:jc w:val="both"/>
              <w:rPr>
                <w:rFonts w:ascii="Georgia" w:hAnsi="Georgia" w:cstheme="majorBidi"/>
                <w:sz w:val="24"/>
                <w:szCs w:val="24"/>
                <w:lang w:val="en-US"/>
              </w:rPr>
            </w:pPr>
          </w:p>
        </w:tc>
        <w:tc>
          <w:tcPr>
            <w:tcW w:w="2268" w:type="dxa"/>
            <w:hideMark/>
          </w:tcPr>
          <w:p w14:paraId="646A9422"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 xml:space="preserve">  </w:t>
            </w:r>
          </w:p>
        </w:tc>
        <w:tc>
          <w:tcPr>
            <w:tcW w:w="3978" w:type="dxa"/>
            <w:hideMark/>
          </w:tcPr>
          <w:p w14:paraId="67C1C28D"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 xml:space="preserve"> ___________________</w:t>
            </w:r>
          </w:p>
          <w:p w14:paraId="0F519223" w14:textId="77777777" w:rsidR="009729AB" w:rsidRPr="00B2752C" w:rsidRDefault="009729AB" w:rsidP="00D7571F">
            <w:pPr>
              <w:jc w:val="both"/>
              <w:rPr>
                <w:rFonts w:ascii="Georgia" w:hAnsi="Georgia" w:cstheme="majorBidi"/>
                <w:sz w:val="24"/>
                <w:szCs w:val="24"/>
                <w:lang w:val="en-US"/>
              </w:rPr>
            </w:pPr>
            <w:r w:rsidRPr="00B2752C">
              <w:rPr>
                <w:rFonts w:ascii="Georgia" w:hAnsi="Georgia" w:cstheme="majorBidi"/>
                <w:sz w:val="24"/>
                <w:szCs w:val="24"/>
                <w:lang w:val="en-US"/>
              </w:rPr>
              <w:t xml:space="preserve">      Advocate on Record</w:t>
            </w:r>
          </w:p>
        </w:tc>
      </w:tr>
    </w:tbl>
    <w:p w14:paraId="23EF9A2E" w14:textId="77777777" w:rsidR="009729AB" w:rsidRPr="00B2752C" w:rsidRDefault="009729AB" w:rsidP="00B80B34">
      <w:pPr>
        <w:spacing w:line="360" w:lineRule="auto"/>
        <w:jc w:val="both"/>
        <w:rPr>
          <w:rFonts w:ascii="Georgia" w:hAnsi="Georgia" w:cstheme="majorBidi"/>
          <w:sz w:val="24"/>
          <w:szCs w:val="24"/>
        </w:rPr>
      </w:pPr>
    </w:p>
    <w:sectPr w:rsidR="009729AB" w:rsidRPr="00B2752C" w:rsidSect="0028120F">
      <w:pgSz w:w="12240" w:h="1872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Georgia">
    <w:panose1 w:val="02040502050405020303"/>
    <w:charset w:val="00"/>
    <w:family w:val="auto"/>
    <w:pitch w:val="variable"/>
    <w:sig w:usb0="00000287" w:usb1="00000000" w:usb2="00000000" w:usb3="00000000" w:csb0="0000009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4681"/>
    <w:multiLevelType w:val="hybridMultilevel"/>
    <w:tmpl w:val="F3B04822"/>
    <w:lvl w:ilvl="0" w:tplc="2000001B">
      <w:start w:val="1"/>
      <w:numFmt w:val="lowerRoman"/>
      <w:lvlText w:val="%1."/>
      <w:lvlJc w:val="right"/>
      <w:pPr>
        <w:ind w:left="630" w:hanging="360"/>
      </w:p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1">
    <w:nsid w:val="308404AF"/>
    <w:multiLevelType w:val="hybridMultilevel"/>
    <w:tmpl w:val="2BF01D40"/>
    <w:lvl w:ilvl="0" w:tplc="9596374E">
      <w:start w:val="1"/>
      <w:numFmt w:val="decimal"/>
      <w:lvlText w:val="%1."/>
      <w:lvlJc w:val="left"/>
      <w:pPr>
        <w:ind w:left="360" w:hanging="360"/>
      </w:pPr>
      <w:rPr>
        <w:sz w:val="24"/>
        <w:szCs w:val="24"/>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49086D92"/>
    <w:multiLevelType w:val="hybridMultilevel"/>
    <w:tmpl w:val="A8984D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B1E06E5"/>
    <w:multiLevelType w:val="hybridMultilevel"/>
    <w:tmpl w:val="5A9EE288"/>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nsid w:val="52F713E4"/>
    <w:multiLevelType w:val="hybridMultilevel"/>
    <w:tmpl w:val="5622CAA0"/>
    <w:lvl w:ilvl="0" w:tplc="20000015">
      <w:start w:val="1"/>
      <w:numFmt w:val="upperLetter"/>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5B441A7C"/>
    <w:multiLevelType w:val="hybridMultilevel"/>
    <w:tmpl w:val="6700C4DE"/>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nsid w:val="7CCD1BA1"/>
    <w:multiLevelType w:val="hybridMultilevel"/>
    <w:tmpl w:val="56C8C5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470200F-2111-449C-BB4A-7F00B20003F1}"/>
    <w:docVar w:name="dgnword-eventsink" w:val="1710614618096"/>
  </w:docVars>
  <w:rsids>
    <w:rsidRoot w:val="00FA3C0C"/>
    <w:rsid w:val="00002469"/>
    <w:rsid w:val="0001723C"/>
    <w:rsid w:val="00021C25"/>
    <w:rsid w:val="00023A36"/>
    <w:rsid w:val="0002540D"/>
    <w:rsid w:val="000613A6"/>
    <w:rsid w:val="00061525"/>
    <w:rsid w:val="0009435F"/>
    <w:rsid w:val="000D6F3F"/>
    <w:rsid w:val="00103CF1"/>
    <w:rsid w:val="00121D6B"/>
    <w:rsid w:val="0014007A"/>
    <w:rsid w:val="00173771"/>
    <w:rsid w:val="001B738D"/>
    <w:rsid w:val="001F6542"/>
    <w:rsid w:val="002159A9"/>
    <w:rsid w:val="00232843"/>
    <w:rsid w:val="0023457A"/>
    <w:rsid w:val="00254EAD"/>
    <w:rsid w:val="00256110"/>
    <w:rsid w:val="0028120F"/>
    <w:rsid w:val="0029082F"/>
    <w:rsid w:val="002A0298"/>
    <w:rsid w:val="002A2CC0"/>
    <w:rsid w:val="002F430F"/>
    <w:rsid w:val="002F4525"/>
    <w:rsid w:val="00323FFD"/>
    <w:rsid w:val="00372DFF"/>
    <w:rsid w:val="003B3220"/>
    <w:rsid w:val="003B3E1B"/>
    <w:rsid w:val="003F621F"/>
    <w:rsid w:val="00412257"/>
    <w:rsid w:val="004364C9"/>
    <w:rsid w:val="00451CE6"/>
    <w:rsid w:val="004A1820"/>
    <w:rsid w:val="004A4C15"/>
    <w:rsid w:val="004E35DA"/>
    <w:rsid w:val="004E406A"/>
    <w:rsid w:val="004F386E"/>
    <w:rsid w:val="00513809"/>
    <w:rsid w:val="0053126B"/>
    <w:rsid w:val="0055206C"/>
    <w:rsid w:val="00552212"/>
    <w:rsid w:val="005525D9"/>
    <w:rsid w:val="0058167B"/>
    <w:rsid w:val="00582B6F"/>
    <w:rsid w:val="005A6694"/>
    <w:rsid w:val="005B1416"/>
    <w:rsid w:val="005D4AD2"/>
    <w:rsid w:val="00600F5C"/>
    <w:rsid w:val="006130DD"/>
    <w:rsid w:val="006267F6"/>
    <w:rsid w:val="006573A2"/>
    <w:rsid w:val="006A0545"/>
    <w:rsid w:val="006E681C"/>
    <w:rsid w:val="006F3FF4"/>
    <w:rsid w:val="006F722B"/>
    <w:rsid w:val="00755AA5"/>
    <w:rsid w:val="00757101"/>
    <w:rsid w:val="007B4BAC"/>
    <w:rsid w:val="007C4534"/>
    <w:rsid w:val="007D0E3D"/>
    <w:rsid w:val="007D7B08"/>
    <w:rsid w:val="007E3421"/>
    <w:rsid w:val="0084183C"/>
    <w:rsid w:val="0085151E"/>
    <w:rsid w:val="008A355B"/>
    <w:rsid w:val="008A6F90"/>
    <w:rsid w:val="009034AB"/>
    <w:rsid w:val="00952C3D"/>
    <w:rsid w:val="009559B6"/>
    <w:rsid w:val="009729AB"/>
    <w:rsid w:val="00980F4F"/>
    <w:rsid w:val="00981556"/>
    <w:rsid w:val="009D317A"/>
    <w:rsid w:val="009D728D"/>
    <w:rsid w:val="009F7456"/>
    <w:rsid w:val="00A42915"/>
    <w:rsid w:val="00A64C77"/>
    <w:rsid w:val="00A660C7"/>
    <w:rsid w:val="00AD1536"/>
    <w:rsid w:val="00B2752C"/>
    <w:rsid w:val="00B4108B"/>
    <w:rsid w:val="00B80B34"/>
    <w:rsid w:val="00B81703"/>
    <w:rsid w:val="00B82204"/>
    <w:rsid w:val="00B90023"/>
    <w:rsid w:val="00BA0183"/>
    <w:rsid w:val="00BB3D01"/>
    <w:rsid w:val="00C25896"/>
    <w:rsid w:val="00C47C86"/>
    <w:rsid w:val="00CA178A"/>
    <w:rsid w:val="00CE0A62"/>
    <w:rsid w:val="00CE183E"/>
    <w:rsid w:val="00D124A3"/>
    <w:rsid w:val="00D25C98"/>
    <w:rsid w:val="00D301F0"/>
    <w:rsid w:val="00D7571F"/>
    <w:rsid w:val="00D82C5E"/>
    <w:rsid w:val="00DB1279"/>
    <w:rsid w:val="00DD37AF"/>
    <w:rsid w:val="00E2060F"/>
    <w:rsid w:val="00E260E1"/>
    <w:rsid w:val="00E527A1"/>
    <w:rsid w:val="00E60182"/>
    <w:rsid w:val="00E8242C"/>
    <w:rsid w:val="00EA0044"/>
    <w:rsid w:val="00EA3257"/>
    <w:rsid w:val="00EB4225"/>
    <w:rsid w:val="00EE67D9"/>
    <w:rsid w:val="00F25992"/>
    <w:rsid w:val="00F52041"/>
    <w:rsid w:val="00F94B64"/>
    <w:rsid w:val="00FA3C0C"/>
    <w:rsid w:val="00FC1627"/>
    <w:rsid w:val="00FD5243"/>
    <w:rsid w:val="00FE3E88"/>
    <w:rsid w:val="00FF7A84"/>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73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z-Cyrl-UZ"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0C"/>
    <w:rPr>
      <w:rFonts w:eastAsiaTheme="majorEastAsia" w:cstheme="majorBidi"/>
      <w:color w:val="272727" w:themeColor="text1" w:themeTint="D8"/>
    </w:rPr>
  </w:style>
  <w:style w:type="paragraph" w:styleId="Title">
    <w:name w:val="Title"/>
    <w:basedOn w:val="Normal"/>
    <w:next w:val="Normal"/>
    <w:link w:val="TitleChar"/>
    <w:uiPriority w:val="10"/>
    <w:qFormat/>
    <w:rsid w:val="00FA3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0C"/>
    <w:pPr>
      <w:spacing w:before="160"/>
      <w:jc w:val="center"/>
    </w:pPr>
    <w:rPr>
      <w:i/>
      <w:iCs/>
      <w:color w:val="404040" w:themeColor="text1" w:themeTint="BF"/>
    </w:rPr>
  </w:style>
  <w:style w:type="character" w:customStyle="1" w:styleId="QuoteChar">
    <w:name w:val="Quote Char"/>
    <w:basedOn w:val="DefaultParagraphFont"/>
    <w:link w:val="Quote"/>
    <w:uiPriority w:val="29"/>
    <w:rsid w:val="00FA3C0C"/>
    <w:rPr>
      <w:i/>
      <w:iCs/>
      <w:color w:val="404040" w:themeColor="text1" w:themeTint="BF"/>
    </w:rPr>
  </w:style>
  <w:style w:type="paragraph" w:styleId="ListParagraph">
    <w:name w:val="List Paragraph"/>
    <w:basedOn w:val="Normal"/>
    <w:uiPriority w:val="34"/>
    <w:qFormat/>
    <w:rsid w:val="00FA3C0C"/>
    <w:pPr>
      <w:ind w:left="720"/>
      <w:contextualSpacing/>
    </w:pPr>
  </w:style>
  <w:style w:type="character" w:styleId="IntenseEmphasis">
    <w:name w:val="Intense Emphasis"/>
    <w:basedOn w:val="DefaultParagraphFont"/>
    <w:uiPriority w:val="21"/>
    <w:qFormat/>
    <w:rsid w:val="00FA3C0C"/>
    <w:rPr>
      <w:i/>
      <w:iCs/>
      <w:color w:val="0F4761" w:themeColor="accent1" w:themeShade="BF"/>
    </w:rPr>
  </w:style>
  <w:style w:type="paragraph" w:styleId="IntenseQuote">
    <w:name w:val="Intense Quote"/>
    <w:basedOn w:val="Normal"/>
    <w:next w:val="Normal"/>
    <w:link w:val="IntenseQuoteChar"/>
    <w:uiPriority w:val="30"/>
    <w:qFormat/>
    <w:rsid w:val="00FA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0C"/>
    <w:rPr>
      <w:i/>
      <w:iCs/>
      <w:color w:val="0F4761" w:themeColor="accent1" w:themeShade="BF"/>
    </w:rPr>
  </w:style>
  <w:style w:type="character" w:styleId="IntenseReference">
    <w:name w:val="Intense Reference"/>
    <w:basedOn w:val="DefaultParagraphFont"/>
    <w:uiPriority w:val="32"/>
    <w:qFormat/>
    <w:rsid w:val="00FA3C0C"/>
    <w:rPr>
      <w:b/>
      <w:bCs/>
      <w:smallCaps/>
      <w:color w:val="0F4761" w:themeColor="accent1" w:themeShade="BF"/>
      <w:spacing w:val="5"/>
    </w:rPr>
  </w:style>
  <w:style w:type="table" w:styleId="TableGrid">
    <w:name w:val="Table Grid"/>
    <w:basedOn w:val="TableNormal"/>
    <w:uiPriority w:val="39"/>
    <w:rsid w:val="0097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z-Cyrl-UZ"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0C"/>
    <w:rPr>
      <w:rFonts w:eastAsiaTheme="majorEastAsia" w:cstheme="majorBidi"/>
      <w:color w:val="272727" w:themeColor="text1" w:themeTint="D8"/>
    </w:rPr>
  </w:style>
  <w:style w:type="paragraph" w:styleId="Title">
    <w:name w:val="Title"/>
    <w:basedOn w:val="Normal"/>
    <w:next w:val="Normal"/>
    <w:link w:val="TitleChar"/>
    <w:uiPriority w:val="10"/>
    <w:qFormat/>
    <w:rsid w:val="00FA3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0C"/>
    <w:pPr>
      <w:spacing w:before="160"/>
      <w:jc w:val="center"/>
    </w:pPr>
    <w:rPr>
      <w:i/>
      <w:iCs/>
      <w:color w:val="404040" w:themeColor="text1" w:themeTint="BF"/>
    </w:rPr>
  </w:style>
  <w:style w:type="character" w:customStyle="1" w:styleId="QuoteChar">
    <w:name w:val="Quote Char"/>
    <w:basedOn w:val="DefaultParagraphFont"/>
    <w:link w:val="Quote"/>
    <w:uiPriority w:val="29"/>
    <w:rsid w:val="00FA3C0C"/>
    <w:rPr>
      <w:i/>
      <w:iCs/>
      <w:color w:val="404040" w:themeColor="text1" w:themeTint="BF"/>
    </w:rPr>
  </w:style>
  <w:style w:type="paragraph" w:styleId="ListParagraph">
    <w:name w:val="List Paragraph"/>
    <w:basedOn w:val="Normal"/>
    <w:uiPriority w:val="34"/>
    <w:qFormat/>
    <w:rsid w:val="00FA3C0C"/>
    <w:pPr>
      <w:ind w:left="720"/>
      <w:contextualSpacing/>
    </w:pPr>
  </w:style>
  <w:style w:type="character" w:styleId="IntenseEmphasis">
    <w:name w:val="Intense Emphasis"/>
    <w:basedOn w:val="DefaultParagraphFont"/>
    <w:uiPriority w:val="21"/>
    <w:qFormat/>
    <w:rsid w:val="00FA3C0C"/>
    <w:rPr>
      <w:i/>
      <w:iCs/>
      <w:color w:val="0F4761" w:themeColor="accent1" w:themeShade="BF"/>
    </w:rPr>
  </w:style>
  <w:style w:type="paragraph" w:styleId="IntenseQuote">
    <w:name w:val="Intense Quote"/>
    <w:basedOn w:val="Normal"/>
    <w:next w:val="Normal"/>
    <w:link w:val="IntenseQuoteChar"/>
    <w:uiPriority w:val="30"/>
    <w:qFormat/>
    <w:rsid w:val="00FA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0C"/>
    <w:rPr>
      <w:i/>
      <w:iCs/>
      <w:color w:val="0F4761" w:themeColor="accent1" w:themeShade="BF"/>
    </w:rPr>
  </w:style>
  <w:style w:type="character" w:styleId="IntenseReference">
    <w:name w:val="Intense Reference"/>
    <w:basedOn w:val="DefaultParagraphFont"/>
    <w:uiPriority w:val="32"/>
    <w:qFormat/>
    <w:rsid w:val="00FA3C0C"/>
    <w:rPr>
      <w:b/>
      <w:bCs/>
      <w:smallCaps/>
      <w:color w:val="0F4761" w:themeColor="accent1" w:themeShade="BF"/>
      <w:spacing w:val="5"/>
    </w:rPr>
  </w:style>
  <w:style w:type="table" w:styleId="TableGrid">
    <w:name w:val="Table Grid"/>
    <w:basedOn w:val="TableNormal"/>
    <w:uiPriority w:val="39"/>
    <w:rsid w:val="0097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4412">
      <w:bodyDiv w:val="1"/>
      <w:marLeft w:val="0"/>
      <w:marRight w:val="0"/>
      <w:marTop w:val="0"/>
      <w:marBottom w:val="0"/>
      <w:divBdr>
        <w:top w:val="none" w:sz="0" w:space="0" w:color="auto"/>
        <w:left w:val="none" w:sz="0" w:space="0" w:color="auto"/>
        <w:bottom w:val="none" w:sz="0" w:space="0" w:color="auto"/>
        <w:right w:val="none" w:sz="0" w:space="0" w:color="auto"/>
      </w:divBdr>
    </w:div>
    <w:div w:id="8231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1413</Words>
  <Characters>8057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Uzair Bhandari</dc:creator>
  <cp:keywords/>
  <dc:description/>
  <cp:lastModifiedBy>Gohar Khan</cp:lastModifiedBy>
  <cp:revision>2</cp:revision>
  <dcterms:created xsi:type="dcterms:W3CDTF">2024-09-20T16:54:00Z</dcterms:created>
  <dcterms:modified xsi:type="dcterms:W3CDTF">2024-09-20T16:54:00Z</dcterms:modified>
</cp:coreProperties>
</file>